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5555" w:rsidRDefault="00775555" w:rsidP="002E04A8">
      <w:pPr>
        <w:spacing w:line="240" w:lineRule="exact"/>
      </w:pPr>
    </w:p>
    <w:p w:rsidR="00775555" w:rsidRDefault="00775555" w:rsidP="002E04A8">
      <w:pPr>
        <w:spacing w:line="240" w:lineRule="exact"/>
      </w:pPr>
    </w:p>
    <w:p w:rsidR="00775555" w:rsidRDefault="00775555" w:rsidP="002E04A8">
      <w:pPr>
        <w:spacing w:line="240" w:lineRule="exact"/>
      </w:pPr>
    </w:p>
    <w:p w:rsidR="00775555" w:rsidRDefault="00775555" w:rsidP="002E04A8">
      <w:pPr>
        <w:spacing w:line="240" w:lineRule="exact"/>
      </w:pPr>
    </w:p>
    <w:p w:rsidR="00775555" w:rsidRPr="00904141" w:rsidRDefault="00775555" w:rsidP="002E04A8">
      <w:pPr>
        <w:spacing w:line="240" w:lineRule="exact"/>
        <w:jc w:val="center"/>
        <w:rPr>
          <w:b/>
        </w:rPr>
      </w:pPr>
      <w:r w:rsidRPr="00904141">
        <w:rPr>
          <w:b/>
        </w:rPr>
        <w:t>CHAPTER 2</w:t>
      </w:r>
    </w:p>
    <w:p w:rsidR="00775555" w:rsidRPr="00904141" w:rsidRDefault="00775555" w:rsidP="002E04A8">
      <w:pPr>
        <w:spacing w:line="240" w:lineRule="exact"/>
      </w:pPr>
    </w:p>
    <w:p w:rsidR="00DE0515" w:rsidRDefault="00775555" w:rsidP="002E04A8">
      <w:pPr>
        <w:spacing w:line="240" w:lineRule="exact"/>
        <w:jc w:val="center"/>
        <w:rPr>
          <w:b/>
        </w:rPr>
      </w:pPr>
      <w:r w:rsidRPr="00904141">
        <w:rPr>
          <w:b/>
        </w:rPr>
        <w:t>CORPORATIONS:  INTRODUCTION</w:t>
      </w:r>
      <w:r w:rsidR="00DE0515">
        <w:rPr>
          <w:b/>
        </w:rPr>
        <w:t xml:space="preserve"> </w:t>
      </w:r>
      <w:r w:rsidR="00346D3A">
        <w:rPr>
          <w:b/>
        </w:rPr>
        <w:t>AND</w:t>
      </w:r>
      <w:r w:rsidR="00DE0515">
        <w:rPr>
          <w:b/>
        </w:rPr>
        <w:t xml:space="preserve"> </w:t>
      </w:r>
    </w:p>
    <w:p w:rsidR="00775555" w:rsidRPr="00904141" w:rsidRDefault="00775555" w:rsidP="002E04A8">
      <w:pPr>
        <w:spacing w:line="240" w:lineRule="exact"/>
        <w:jc w:val="center"/>
      </w:pPr>
      <w:r w:rsidRPr="00904141">
        <w:rPr>
          <w:b/>
        </w:rPr>
        <w:t>OPERATING</w:t>
      </w:r>
      <w:r w:rsidR="00DE0515">
        <w:rPr>
          <w:b/>
        </w:rPr>
        <w:t xml:space="preserve"> </w:t>
      </w:r>
      <w:r w:rsidRPr="00904141">
        <w:rPr>
          <w:b/>
        </w:rPr>
        <w:t>RULES</w:t>
      </w:r>
    </w:p>
    <w:p w:rsidR="00775555" w:rsidRPr="00904141" w:rsidRDefault="00775555" w:rsidP="002E04A8">
      <w:pPr>
        <w:spacing w:line="240" w:lineRule="exact"/>
      </w:pPr>
    </w:p>
    <w:p w:rsidR="00775555" w:rsidRPr="00904141" w:rsidRDefault="00775555" w:rsidP="002E04A8">
      <w:pPr>
        <w:spacing w:line="240" w:lineRule="exact"/>
      </w:pPr>
    </w:p>
    <w:p w:rsidR="00775555" w:rsidRPr="00904141" w:rsidRDefault="00775555" w:rsidP="002E04A8">
      <w:pPr>
        <w:spacing w:line="240" w:lineRule="exact"/>
      </w:pPr>
    </w:p>
    <w:p w:rsidR="00775555" w:rsidRPr="00904141" w:rsidRDefault="00775555" w:rsidP="002E04A8">
      <w:pPr>
        <w:spacing w:line="240" w:lineRule="exact"/>
      </w:pPr>
    </w:p>
    <w:p w:rsidR="00775555" w:rsidRPr="008E15DC" w:rsidRDefault="00775555" w:rsidP="002E04A8">
      <w:pPr>
        <w:spacing w:line="240" w:lineRule="exact"/>
        <w:jc w:val="center"/>
        <w:rPr>
          <w:b/>
          <w:caps/>
        </w:rPr>
      </w:pPr>
      <w:r w:rsidRPr="008E15DC">
        <w:rPr>
          <w:b/>
          <w:caps/>
        </w:rPr>
        <w:t>Lecture Notes</w:t>
      </w:r>
    </w:p>
    <w:p w:rsidR="00775555" w:rsidRPr="00904141" w:rsidRDefault="00775555" w:rsidP="002E04A8">
      <w:pPr>
        <w:spacing w:line="240" w:lineRule="exact"/>
      </w:pPr>
    </w:p>
    <w:p w:rsidR="000A4322" w:rsidRDefault="000A4322" w:rsidP="002E04A8">
      <w:pPr>
        <w:spacing w:line="240" w:lineRule="exact"/>
        <w:rPr>
          <w:b/>
        </w:rPr>
      </w:pPr>
      <w:r w:rsidRPr="007E7222">
        <w:rPr>
          <w:b/>
        </w:rPr>
        <w:t>SUMMARY OF CHANGES IN THE CHAPTER</w:t>
      </w:r>
    </w:p>
    <w:p w:rsidR="00644068" w:rsidRPr="007E7222" w:rsidRDefault="00644068" w:rsidP="000E3AAB">
      <w:pPr>
        <w:spacing w:line="240" w:lineRule="exact"/>
      </w:pPr>
    </w:p>
    <w:p w:rsidR="0004704E" w:rsidRPr="00EC30FF" w:rsidRDefault="0004704E" w:rsidP="00135C62">
      <w:pPr>
        <w:pStyle w:val="mainanswerparagraph"/>
        <w:tabs>
          <w:tab w:val="clear" w:pos="720"/>
        </w:tabs>
        <w:spacing w:after="240"/>
        <w:ind w:left="0" w:firstLine="0"/>
        <w:jc w:val="left"/>
        <w:rPr>
          <w:rFonts w:ascii="Times New Roman" w:hAnsi="Times New Roman"/>
          <w:sz w:val="24"/>
          <w:szCs w:val="24"/>
        </w:rPr>
      </w:pPr>
      <w:bookmarkStart w:id="0" w:name="OLE_LINK1"/>
      <w:bookmarkStart w:id="1" w:name="OLE_LINK2"/>
      <w:r w:rsidRPr="00EC30FF">
        <w:rPr>
          <w:rFonts w:ascii="Times New Roman" w:hAnsi="Times New Roman"/>
          <w:sz w:val="24"/>
          <w:szCs w:val="24"/>
        </w:rPr>
        <w:t>The following are notable changes in the chapter from the 20</w:t>
      </w:r>
      <w:r w:rsidR="00196EC9">
        <w:rPr>
          <w:rFonts w:ascii="Times New Roman" w:hAnsi="Times New Roman"/>
          <w:sz w:val="24"/>
          <w:szCs w:val="24"/>
        </w:rPr>
        <w:t>1</w:t>
      </w:r>
      <w:r w:rsidR="0002740E">
        <w:rPr>
          <w:rFonts w:ascii="Times New Roman" w:hAnsi="Times New Roman"/>
          <w:sz w:val="24"/>
          <w:szCs w:val="24"/>
        </w:rPr>
        <w:t>3</w:t>
      </w:r>
      <w:r w:rsidRPr="00EC30FF">
        <w:rPr>
          <w:rFonts w:ascii="Times New Roman" w:hAnsi="Times New Roman"/>
          <w:sz w:val="24"/>
          <w:szCs w:val="24"/>
        </w:rPr>
        <w:t xml:space="preserve"> Edition. For major changes, see the Preface to the Instructor’s Edition of the text.</w:t>
      </w:r>
    </w:p>
    <w:p w:rsidR="0002740E" w:rsidRPr="0002740E" w:rsidRDefault="0002740E" w:rsidP="00E05DC9">
      <w:pPr>
        <w:spacing w:after="240" w:line="240" w:lineRule="exact"/>
        <w:rPr>
          <w:szCs w:val="20"/>
        </w:rPr>
      </w:pPr>
      <w:r w:rsidRPr="0002740E">
        <w:rPr>
          <w:szCs w:val="20"/>
        </w:rPr>
        <w:t>News Boxes</w:t>
      </w:r>
    </w:p>
    <w:p w:rsidR="0002740E" w:rsidRPr="0002740E" w:rsidRDefault="0002740E" w:rsidP="00E05DC9">
      <w:pPr>
        <w:numPr>
          <w:ilvl w:val="0"/>
          <w:numId w:val="26"/>
        </w:numPr>
        <w:spacing w:after="240" w:line="240" w:lineRule="exact"/>
        <w:ind w:hanging="720"/>
        <w:rPr>
          <w:szCs w:val="20"/>
        </w:rPr>
      </w:pPr>
      <w:r w:rsidRPr="0002740E">
        <w:rPr>
          <w:szCs w:val="20"/>
        </w:rPr>
        <w:t xml:space="preserve">Added Tax in the News titled </w:t>
      </w:r>
      <w:r w:rsidRPr="0002740E">
        <w:rPr>
          <w:i/>
          <w:szCs w:val="20"/>
        </w:rPr>
        <w:t>LLC’s Pseudo Corporate Status Not Recognized for State Transfer Taxes</w:t>
      </w:r>
      <w:r w:rsidRPr="0002740E">
        <w:rPr>
          <w:szCs w:val="20"/>
        </w:rPr>
        <w:t>.</w:t>
      </w:r>
    </w:p>
    <w:p w:rsidR="0002740E" w:rsidRPr="0002740E" w:rsidRDefault="0002740E" w:rsidP="00E05DC9">
      <w:pPr>
        <w:numPr>
          <w:ilvl w:val="0"/>
          <w:numId w:val="26"/>
        </w:numPr>
        <w:spacing w:after="240" w:line="240" w:lineRule="exact"/>
        <w:ind w:hanging="720"/>
        <w:rPr>
          <w:szCs w:val="20"/>
        </w:rPr>
      </w:pPr>
      <w:r w:rsidRPr="0002740E">
        <w:rPr>
          <w:szCs w:val="20"/>
        </w:rPr>
        <w:t xml:space="preserve">Added Tax in the News titled </w:t>
      </w:r>
      <w:r w:rsidRPr="0002740E">
        <w:rPr>
          <w:i/>
          <w:szCs w:val="20"/>
        </w:rPr>
        <w:t>Too Much of a Good Thing?</w:t>
      </w:r>
    </w:p>
    <w:p w:rsidR="0002740E" w:rsidRPr="0002740E" w:rsidRDefault="0002740E" w:rsidP="00E05DC9">
      <w:pPr>
        <w:numPr>
          <w:ilvl w:val="0"/>
          <w:numId w:val="26"/>
        </w:numPr>
        <w:spacing w:after="240" w:line="240" w:lineRule="exact"/>
        <w:ind w:hanging="720"/>
        <w:rPr>
          <w:szCs w:val="20"/>
        </w:rPr>
      </w:pPr>
      <w:r w:rsidRPr="0002740E">
        <w:rPr>
          <w:szCs w:val="20"/>
        </w:rPr>
        <w:t xml:space="preserve">Added Tax in the News titled </w:t>
      </w:r>
      <w:r w:rsidRPr="0002740E">
        <w:rPr>
          <w:i/>
          <w:szCs w:val="20"/>
        </w:rPr>
        <w:t>Presidential Campaign Highlights Call for Corporate Tax Reform</w:t>
      </w:r>
      <w:r w:rsidRPr="0002740E">
        <w:rPr>
          <w:szCs w:val="20"/>
        </w:rPr>
        <w:t>.</w:t>
      </w:r>
    </w:p>
    <w:p w:rsidR="0002740E" w:rsidRPr="0002740E" w:rsidRDefault="0002740E" w:rsidP="00E05DC9">
      <w:pPr>
        <w:numPr>
          <w:ilvl w:val="0"/>
          <w:numId w:val="26"/>
        </w:numPr>
        <w:spacing w:after="240" w:line="240" w:lineRule="exact"/>
        <w:ind w:hanging="720"/>
        <w:jc w:val="both"/>
        <w:rPr>
          <w:szCs w:val="20"/>
        </w:rPr>
      </w:pPr>
      <w:r w:rsidRPr="0002740E">
        <w:rPr>
          <w:szCs w:val="20"/>
        </w:rPr>
        <w:t xml:space="preserve">Removed Tax in the News titled </w:t>
      </w:r>
      <w:r w:rsidRPr="0002740E">
        <w:rPr>
          <w:i/>
          <w:szCs w:val="20"/>
        </w:rPr>
        <w:t>The President’s Economic Recovery Advisory Board Offers Options for Corporate Tax Reform</w:t>
      </w:r>
      <w:r w:rsidRPr="0002740E">
        <w:rPr>
          <w:szCs w:val="20"/>
        </w:rPr>
        <w:t>.</w:t>
      </w:r>
    </w:p>
    <w:p w:rsidR="0002740E" w:rsidRPr="0002740E" w:rsidRDefault="0002740E" w:rsidP="00E05DC9">
      <w:pPr>
        <w:numPr>
          <w:ilvl w:val="0"/>
          <w:numId w:val="26"/>
        </w:numPr>
        <w:spacing w:after="240" w:line="240" w:lineRule="exact"/>
        <w:ind w:hanging="720"/>
        <w:jc w:val="both"/>
        <w:rPr>
          <w:szCs w:val="20"/>
        </w:rPr>
      </w:pPr>
      <w:r w:rsidRPr="0002740E">
        <w:rPr>
          <w:szCs w:val="20"/>
        </w:rPr>
        <w:t xml:space="preserve">Removed Tax in the News titled </w:t>
      </w:r>
      <w:r w:rsidRPr="0002740E">
        <w:rPr>
          <w:i/>
          <w:szCs w:val="20"/>
        </w:rPr>
        <w:t>Not All Corporations Are Created Equal</w:t>
      </w:r>
      <w:r w:rsidRPr="0002740E">
        <w:rPr>
          <w:szCs w:val="20"/>
        </w:rPr>
        <w:t>.</w:t>
      </w:r>
    </w:p>
    <w:p w:rsidR="0002740E" w:rsidRPr="0002740E" w:rsidRDefault="0002740E" w:rsidP="00E05DC9">
      <w:pPr>
        <w:spacing w:after="240" w:line="240" w:lineRule="exact"/>
        <w:jc w:val="both"/>
        <w:rPr>
          <w:szCs w:val="20"/>
        </w:rPr>
      </w:pPr>
      <w:r w:rsidRPr="0002740E">
        <w:rPr>
          <w:szCs w:val="20"/>
        </w:rPr>
        <w:t>Ethical and Equity Considerations</w:t>
      </w:r>
    </w:p>
    <w:p w:rsidR="0002740E" w:rsidRPr="0002740E" w:rsidRDefault="0002740E" w:rsidP="00E05DC9">
      <w:pPr>
        <w:numPr>
          <w:ilvl w:val="0"/>
          <w:numId w:val="27"/>
        </w:numPr>
        <w:spacing w:after="240" w:line="240" w:lineRule="exact"/>
        <w:ind w:hanging="720"/>
        <w:jc w:val="both"/>
        <w:rPr>
          <w:szCs w:val="20"/>
        </w:rPr>
      </w:pPr>
      <w:r w:rsidRPr="0002740E">
        <w:rPr>
          <w:szCs w:val="20"/>
        </w:rPr>
        <w:t xml:space="preserve">Added Ethics and Equity titled </w:t>
      </w:r>
      <w:r w:rsidRPr="0002740E">
        <w:rPr>
          <w:i/>
          <w:szCs w:val="20"/>
        </w:rPr>
        <w:t>Best of Both Worlds?</w:t>
      </w:r>
    </w:p>
    <w:p w:rsidR="0002740E" w:rsidRPr="0002740E" w:rsidRDefault="0002740E" w:rsidP="00E05DC9">
      <w:pPr>
        <w:numPr>
          <w:ilvl w:val="0"/>
          <w:numId w:val="27"/>
        </w:numPr>
        <w:spacing w:after="240" w:line="240" w:lineRule="exact"/>
        <w:ind w:hanging="720"/>
        <w:jc w:val="both"/>
        <w:rPr>
          <w:szCs w:val="20"/>
        </w:rPr>
      </w:pPr>
      <w:r w:rsidRPr="0002740E">
        <w:rPr>
          <w:szCs w:val="20"/>
        </w:rPr>
        <w:t xml:space="preserve">Removed Ethics and Equity titled </w:t>
      </w:r>
      <w:r w:rsidRPr="0002740E">
        <w:rPr>
          <w:i/>
          <w:szCs w:val="20"/>
        </w:rPr>
        <w:t>Art Is in the Eye of the Beholder!</w:t>
      </w:r>
    </w:p>
    <w:p w:rsidR="0002740E" w:rsidRPr="0002740E" w:rsidRDefault="0002740E" w:rsidP="00E05DC9">
      <w:pPr>
        <w:spacing w:after="240" w:line="240" w:lineRule="exact"/>
        <w:jc w:val="both"/>
        <w:rPr>
          <w:szCs w:val="20"/>
        </w:rPr>
      </w:pPr>
      <w:r w:rsidRPr="0002740E">
        <w:rPr>
          <w:szCs w:val="20"/>
        </w:rPr>
        <w:t>Global Tax Issues</w:t>
      </w:r>
    </w:p>
    <w:p w:rsidR="0002740E" w:rsidRPr="0002740E" w:rsidRDefault="0002740E" w:rsidP="00E05DC9">
      <w:pPr>
        <w:numPr>
          <w:ilvl w:val="0"/>
          <w:numId w:val="38"/>
        </w:numPr>
        <w:tabs>
          <w:tab w:val="num" w:pos="720"/>
        </w:tabs>
        <w:spacing w:after="240" w:line="240" w:lineRule="exact"/>
        <w:ind w:left="720" w:hanging="720"/>
        <w:jc w:val="both"/>
        <w:rPr>
          <w:szCs w:val="20"/>
        </w:rPr>
      </w:pPr>
      <w:r w:rsidRPr="0002740E">
        <w:rPr>
          <w:szCs w:val="20"/>
        </w:rPr>
        <w:t xml:space="preserve">Updated Global Tax Issues titled </w:t>
      </w:r>
      <w:r w:rsidRPr="0002740E">
        <w:rPr>
          <w:i/>
          <w:szCs w:val="20"/>
        </w:rPr>
        <w:t>U.S. Corporate Tax Rate and Global Competitiveness</w:t>
      </w:r>
      <w:r w:rsidRPr="0002740E">
        <w:rPr>
          <w:szCs w:val="20"/>
        </w:rPr>
        <w:t>.</w:t>
      </w:r>
    </w:p>
    <w:p w:rsidR="00225EA5" w:rsidRDefault="00225EA5" w:rsidP="000672E5">
      <w:pPr>
        <w:tabs>
          <w:tab w:val="left" w:pos="0"/>
        </w:tabs>
        <w:spacing w:line="240" w:lineRule="exact"/>
        <w:jc w:val="both"/>
      </w:pPr>
    </w:p>
    <w:bookmarkEnd w:id="0"/>
    <w:bookmarkEnd w:id="1"/>
    <w:p w:rsidR="00EE6925" w:rsidRDefault="00EE6925" w:rsidP="00135C62">
      <w:pPr>
        <w:tabs>
          <w:tab w:val="left" w:pos="0"/>
        </w:tabs>
        <w:spacing w:line="240" w:lineRule="exact"/>
        <w:jc w:val="both"/>
        <w:rPr>
          <w:b/>
        </w:rPr>
      </w:pPr>
    </w:p>
    <w:p w:rsidR="00775555" w:rsidRDefault="004C3E99" w:rsidP="00135C62">
      <w:pPr>
        <w:tabs>
          <w:tab w:val="left" w:pos="0"/>
        </w:tabs>
        <w:spacing w:line="240" w:lineRule="exact"/>
        <w:jc w:val="both"/>
        <w:rPr>
          <w:b/>
        </w:rPr>
      </w:pPr>
      <w:r>
        <w:rPr>
          <w:b/>
        </w:rPr>
        <w:t xml:space="preserve">2.1 </w:t>
      </w:r>
      <w:r w:rsidR="00775555">
        <w:rPr>
          <w:b/>
        </w:rPr>
        <w:t>TAX TREATMENT OF VARIOUS BUSINESS FORMS</w:t>
      </w:r>
    </w:p>
    <w:p w:rsidR="00775555" w:rsidRDefault="00775555" w:rsidP="00135C62">
      <w:pPr>
        <w:spacing w:line="240" w:lineRule="exact"/>
      </w:pPr>
    </w:p>
    <w:p w:rsidR="00F36F86" w:rsidRDefault="00775555" w:rsidP="002E04A8">
      <w:pPr>
        <w:pStyle w:val="mainanswerparagraph"/>
        <w:jc w:val="left"/>
        <w:rPr>
          <w:rFonts w:ascii="Times New Roman" w:hAnsi="Times New Roman"/>
          <w:sz w:val="24"/>
        </w:rPr>
      </w:pPr>
      <w:r>
        <w:rPr>
          <w:rFonts w:ascii="Times New Roman" w:hAnsi="Times New Roman"/>
          <w:sz w:val="24"/>
        </w:rPr>
        <w:t>1.</w:t>
      </w:r>
      <w:r>
        <w:rPr>
          <w:rFonts w:ascii="Times New Roman" w:hAnsi="Times New Roman"/>
          <w:sz w:val="24"/>
        </w:rPr>
        <w:tab/>
      </w:r>
      <w:r w:rsidR="00F36F86">
        <w:rPr>
          <w:rFonts w:ascii="Times New Roman" w:hAnsi="Times New Roman"/>
          <w:sz w:val="24"/>
        </w:rPr>
        <w:t>Business forms include: sole proprietorships, partnerships</w:t>
      </w:r>
      <w:r w:rsidR="00EE6925">
        <w:rPr>
          <w:rFonts w:ascii="Times New Roman" w:hAnsi="Times New Roman"/>
          <w:sz w:val="24"/>
        </w:rPr>
        <w:t xml:space="preserve"> </w:t>
      </w:r>
      <w:r w:rsidR="005C654C">
        <w:rPr>
          <w:rFonts w:ascii="Times New Roman" w:hAnsi="Times New Roman"/>
          <w:sz w:val="24"/>
        </w:rPr>
        <w:t>(covered in Chapters 10 and 11)</w:t>
      </w:r>
      <w:r w:rsidR="00F36F86">
        <w:rPr>
          <w:rFonts w:ascii="Times New Roman" w:hAnsi="Times New Roman"/>
          <w:sz w:val="24"/>
        </w:rPr>
        <w:t>, trusts and estates</w:t>
      </w:r>
      <w:r w:rsidR="005C654C">
        <w:rPr>
          <w:rFonts w:ascii="Times New Roman" w:hAnsi="Times New Roman"/>
          <w:sz w:val="24"/>
        </w:rPr>
        <w:t xml:space="preserve"> (covered in Cha</w:t>
      </w:r>
      <w:r w:rsidR="00B76D2A">
        <w:rPr>
          <w:rFonts w:ascii="Times New Roman" w:hAnsi="Times New Roman"/>
          <w:sz w:val="24"/>
        </w:rPr>
        <w:t xml:space="preserve">pter </w:t>
      </w:r>
      <w:r w:rsidR="00DD535F">
        <w:rPr>
          <w:rFonts w:ascii="Times New Roman" w:hAnsi="Times New Roman"/>
          <w:sz w:val="24"/>
        </w:rPr>
        <w:t>20</w:t>
      </w:r>
      <w:r w:rsidR="00EE6925">
        <w:rPr>
          <w:rFonts w:ascii="Times New Roman" w:hAnsi="Times New Roman"/>
          <w:sz w:val="24"/>
        </w:rPr>
        <w:t>)</w:t>
      </w:r>
      <w:r w:rsidR="00F36F86">
        <w:rPr>
          <w:rFonts w:ascii="Times New Roman" w:hAnsi="Times New Roman"/>
          <w:sz w:val="24"/>
        </w:rPr>
        <w:t xml:space="preserve">, </w:t>
      </w:r>
      <w:r w:rsidR="00332B1A">
        <w:rPr>
          <w:rFonts w:ascii="Times New Roman" w:hAnsi="Times New Roman"/>
          <w:sz w:val="24"/>
        </w:rPr>
        <w:t xml:space="preserve">Subchapter </w:t>
      </w:r>
      <w:r w:rsidR="00F36F86">
        <w:rPr>
          <w:rFonts w:ascii="Times New Roman" w:hAnsi="Times New Roman"/>
          <w:sz w:val="24"/>
        </w:rPr>
        <w:t>S corporations</w:t>
      </w:r>
      <w:r w:rsidR="005C654C">
        <w:rPr>
          <w:rFonts w:ascii="Times New Roman" w:hAnsi="Times New Roman"/>
          <w:sz w:val="24"/>
        </w:rPr>
        <w:t xml:space="preserve"> (covered in Chapter 12)</w:t>
      </w:r>
      <w:r w:rsidR="00F36F86">
        <w:rPr>
          <w:rFonts w:ascii="Times New Roman" w:hAnsi="Times New Roman"/>
          <w:sz w:val="24"/>
        </w:rPr>
        <w:t xml:space="preserve">, and regular </w:t>
      </w:r>
      <w:r w:rsidR="00332B1A">
        <w:rPr>
          <w:rFonts w:ascii="Times New Roman" w:hAnsi="Times New Roman"/>
          <w:sz w:val="24"/>
        </w:rPr>
        <w:t xml:space="preserve">Subchapter C </w:t>
      </w:r>
      <w:r w:rsidR="00F36F86">
        <w:rPr>
          <w:rFonts w:ascii="Times New Roman" w:hAnsi="Times New Roman"/>
          <w:sz w:val="24"/>
        </w:rPr>
        <w:t>corporations.</w:t>
      </w:r>
    </w:p>
    <w:p w:rsidR="00DD7240" w:rsidRDefault="00DD7240" w:rsidP="002E04A8">
      <w:pPr>
        <w:pStyle w:val="mainanswerparagraph"/>
        <w:jc w:val="left"/>
        <w:rPr>
          <w:rFonts w:ascii="Times New Roman" w:hAnsi="Times New Roman"/>
          <w:sz w:val="24"/>
        </w:rPr>
      </w:pPr>
    </w:p>
    <w:p w:rsidR="00775555" w:rsidRDefault="003A4D62" w:rsidP="002E04A8">
      <w:pPr>
        <w:pStyle w:val="mainanswerparagraph"/>
        <w:tabs>
          <w:tab w:val="clear" w:pos="720"/>
        </w:tabs>
        <w:jc w:val="left"/>
        <w:rPr>
          <w:rFonts w:ascii="Times New Roman" w:hAnsi="Times New Roman"/>
          <w:sz w:val="24"/>
        </w:rPr>
      </w:pPr>
      <w:r>
        <w:rPr>
          <w:rFonts w:ascii="Times New Roman" w:hAnsi="Times New Roman"/>
          <w:sz w:val="24"/>
        </w:rPr>
        <w:t>2.</w:t>
      </w:r>
      <w:r>
        <w:rPr>
          <w:rFonts w:ascii="Times New Roman" w:hAnsi="Times New Roman"/>
          <w:sz w:val="24"/>
        </w:rPr>
        <w:tab/>
        <w:t xml:space="preserve">C </w:t>
      </w:r>
      <w:r w:rsidR="00775555">
        <w:rPr>
          <w:rFonts w:ascii="Times New Roman" w:hAnsi="Times New Roman"/>
          <w:sz w:val="24"/>
        </w:rPr>
        <w:t>corporation</w:t>
      </w:r>
      <w:r w:rsidR="00332B1A">
        <w:rPr>
          <w:rFonts w:ascii="Times New Roman" w:hAnsi="Times New Roman"/>
          <w:sz w:val="24"/>
        </w:rPr>
        <w:t>s</w:t>
      </w:r>
      <w:r>
        <w:rPr>
          <w:rFonts w:ascii="Times New Roman" w:hAnsi="Times New Roman"/>
          <w:sz w:val="24"/>
        </w:rPr>
        <w:t xml:space="preserve"> are </w:t>
      </w:r>
      <w:r w:rsidR="00775555">
        <w:rPr>
          <w:rFonts w:ascii="Times New Roman" w:hAnsi="Times New Roman"/>
          <w:sz w:val="24"/>
        </w:rPr>
        <w:t>separate taxable entit</w:t>
      </w:r>
      <w:r>
        <w:rPr>
          <w:rFonts w:ascii="Times New Roman" w:hAnsi="Times New Roman"/>
          <w:sz w:val="24"/>
        </w:rPr>
        <w:t>ies</w:t>
      </w:r>
      <w:r w:rsidR="00122B5E">
        <w:rPr>
          <w:rFonts w:ascii="Times New Roman" w:hAnsi="Times New Roman"/>
          <w:sz w:val="24"/>
        </w:rPr>
        <w:t xml:space="preserve">, </w:t>
      </w:r>
      <w:r w:rsidR="00775555">
        <w:rPr>
          <w:rFonts w:ascii="Times New Roman" w:hAnsi="Times New Roman"/>
          <w:sz w:val="24"/>
        </w:rPr>
        <w:t xml:space="preserve">compute </w:t>
      </w:r>
      <w:r>
        <w:rPr>
          <w:rFonts w:ascii="Times New Roman" w:hAnsi="Times New Roman"/>
          <w:sz w:val="24"/>
        </w:rPr>
        <w:t>their own taxable income</w:t>
      </w:r>
      <w:r w:rsidR="00122B5E">
        <w:rPr>
          <w:rFonts w:ascii="Times New Roman" w:hAnsi="Times New Roman"/>
          <w:sz w:val="24"/>
        </w:rPr>
        <w:t>,</w:t>
      </w:r>
      <w:r>
        <w:rPr>
          <w:rFonts w:ascii="Times New Roman" w:hAnsi="Times New Roman"/>
          <w:sz w:val="24"/>
        </w:rPr>
        <w:t xml:space="preserve"> and pay their </w:t>
      </w:r>
      <w:r w:rsidR="00775555">
        <w:rPr>
          <w:rFonts w:ascii="Times New Roman" w:hAnsi="Times New Roman"/>
          <w:sz w:val="24"/>
        </w:rPr>
        <w:t>own tax</w:t>
      </w:r>
      <w:r w:rsidR="00122B5E">
        <w:rPr>
          <w:rFonts w:ascii="Times New Roman" w:hAnsi="Times New Roman"/>
          <w:sz w:val="24"/>
        </w:rPr>
        <w:t>es</w:t>
      </w:r>
      <w:r w:rsidR="00775555">
        <w:rPr>
          <w:rFonts w:ascii="Times New Roman" w:hAnsi="Times New Roman"/>
          <w:sz w:val="24"/>
        </w:rPr>
        <w:t>.</w:t>
      </w:r>
      <w:r w:rsidR="00925C0C">
        <w:rPr>
          <w:rFonts w:ascii="Times New Roman" w:hAnsi="Times New Roman"/>
          <w:sz w:val="24"/>
        </w:rPr>
        <w:t xml:space="preserve"> </w:t>
      </w:r>
    </w:p>
    <w:p w:rsidR="009B2C73" w:rsidRDefault="009B2C73" w:rsidP="002E04A8">
      <w:pPr>
        <w:pStyle w:val="Subpartsanswer"/>
        <w:tabs>
          <w:tab w:val="clear" w:pos="1296"/>
          <w:tab w:val="left" w:pos="1440"/>
        </w:tabs>
        <w:ind w:left="1440" w:hanging="720"/>
        <w:jc w:val="left"/>
        <w:rPr>
          <w:rFonts w:ascii="Times New Roman" w:hAnsi="Times New Roman"/>
          <w:sz w:val="24"/>
        </w:rPr>
      </w:pPr>
    </w:p>
    <w:p w:rsidR="009B2C73" w:rsidRDefault="009B2C73" w:rsidP="00684849">
      <w:pPr>
        <w:pStyle w:val="Subpartsanswer"/>
        <w:keepNext/>
        <w:tabs>
          <w:tab w:val="clear" w:pos="576"/>
          <w:tab w:val="clear" w:pos="1296"/>
          <w:tab w:val="left" w:pos="1440"/>
        </w:tabs>
        <w:ind w:left="1440" w:hanging="1440"/>
        <w:jc w:val="left"/>
        <w:rPr>
          <w:rFonts w:ascii="Times New Roman" w:hAnsi="Times New Roman"/>
          <w:b/>
          <w:sz w:val="24"/>
        </w:rPr>
      </w:pPr>
      <w:r w:rsidRPr="009B2C73">
        <w:rPr>
          <w:rFonts w:ascii="Times New Roman" w:hAnsi="Times New Roman"/>
          <w:b/>
          <w:sz w:val="24"/>
        </w:rPr>
        <w:t>Sole Proprietorship</w:t>
      </w:r>
    </w:p>
    <w:p w:rsidR="00733ECA" w:rsidRDefault="00733ECA" w:rsidP="00684849">
      <w:pPr>
        <w:pStyle w:val="Subpartsanswer"/>
        <w:keepNext/>
        <w:tabs>
          <w:tab w:val="clear" w:pos="576"/>
          <w:tab w:val="clear" w:pos="1296"/>
          <w:tab w:val="left" w:pos="1440"/>
        </w:tabs>
        <w:ind w:left="1440" w:hanging="1440"/>
        <w:jc w:val="left"/>
        <w:rPr>
          <w:rFonts w:ascii="Times New Roman" w:hAnsi="Times New Roman"/>
          <w:b/>
          <w:sz w:val="24"/>
        </w:rPr>
      </w:pPr>
    </w:p>
    <w:p w:rsidR="00775555" w:rsidRPr="009B2C73" w:rsidRDefault="009B2C73" w:rsidP="002E04A8">
      <w:pPr>
        <w:pStyle w:val="Subpartsanswer"/>
        <w:tabs>
          <w:tab w:val="clear" w:pos="576"/>
          <w:tab w:val="clear" w:pos="1296"/>
        </w:tabs>
        <w:ind w:left="720" w:hanging="720"/>
        <w:jc w:val="left"/>
        <w:rPr>
          <w:rFonts w:ascii="Times New Roman" w:hAnsi="Times New Roman"/>
          <w:b/>
          <w:sz w:val="24"/>
        </w:rPr>
      </w:pPr>
      <w:r w:rsidRPr="00733ECA">
        <w:rPr>
          <w:rFonts w:ascii="Times New Roman" w:hAnsi="Times New Roman"/>
          <w:sz w:val="24"/>
        </w:rPr>
        <w:t>3.</w:t>
      </w:r>
      <w:r>
        <w:rPr>
          <w:rFonts w:ascii="Times New Roman" w:hAnsi="Times New Roman"/>
          <w:b/>
          <w:sz w:val="24"/>
        </w:rPr>
        <w:tab/>
      </w:r>
      <w:r w:rsidR="00122B5E" w:rsidRPr="004F1EF5">
        <w:rPr>
          <w:rFonts w:ascii="Times New Roman" w:hAnsi="Times New Roman"/>
          <w:sz w:val="24"/>
        </w:rPr>
        <w:t>S</w:t>
      </w:r>
      <w:r w:rsidR="00775555" w:rsidRPr="004F1EF5">
        <w:rPr>
          <w:rFonts w:ascii="Times New Roman" w:hAnsi="Times New Roman"/>
          <w:sz w:val="24"/>
        </w:rPr>
        <w:t>o</w:t>
      </w:r>
      <w:r w:rsidR="00775555">
        <w:rPr>
          <w:rFonts w:ascii="Times New Roman" w:hAnsi="Times New Roman"/>
          <w:sz w:val="24"/>
        </w:rPr>
        <w:t>le proprietorship is not a taxable entity.</w:t>
      </w:r>
      <w:r w:rsidR="00536955">
        <w:rPr>
          <w:rFonts w:ascii="Times New Roman" w:hAnsi="Times New Roman"/>
          <w:sz w:val="24"/>
        </w:rPr>
        <w:t xml:space="preserve"> </w:t>
      </w:r>
      <w:r w:rsidR="00775555">
        <w:rPr>
          <w:rFonts w:ascii="Times New Roman" w:hAnsi="Times New Roman"/>
          <w:sz w:val="24"/>
        </w:rPr>
        <w:t>Net income or loss from the proprietorship is computed on Schedule C, which is attached to the proprietor’s Form 1040.</w:t>
      </w:r>
      <w:r w:rsidR="00536955">
        <w:rPr>
          <w:rFonts w:ascii="Times New Roman" w:hAnsi="Times New Roman"/>
          <w:sz w:val="24"/>
        </w:rPr>
        <w:t xml:space="preserve"> </w:t>
      </w:r>
      <w:r w:rsidR="00775555">
        <w:rPr>
          <w:rFonts w:ascii="Times New Roman" w:hAnsi="Times New Roman"/>
          <w:sz w:val="24"/>
        </w:rPr>
        <w:t>Thus, the proprietor pays tax on the profits of the proprietorship.</w:t>
      </w:r>
    </w:p>
    <w:p w:rsidR="00733ECA" w:rsidRDefault="00733ECA" w:rsidP="002E04A8">
      <w:pPr>
        <w:pStyle w:val="subquestionpara"/>
        <w:tabs>
          <w:tab w:val="left" w:pos="1440"/>
        </w:tabs>
        <w:ind w:left="1440" w:hanging="720"/>
        <w:rPr>
          <w:rFonts w:ascii="Times New Roman" w:hAnsi="Times New Roman"/>
          <w:sz w:val="24"/>
        </w:rPr>
      </w:pPr>
    </w:p>
    <w:p w:rsidR="00733ECA" w:rsidRPr="00733ECA" w:rsidRDefault="00733ECA" w:rsidP="002E04A8">
      <w:pPr>
        <w:pStyle w:val="subquestionpara"/>
        <w:tabs>
          <w:tab w:val="left" w:pos="1440"/>
        </w:tabs>
        <w:ind w:left="1440" w:hanging="1440"/>
        <w:rPr>
          <w:rFonts w:ascii="Times New Roman" w:hAnsi="Times New Roman"/>
          <w:b/>
          <w:sz w:val="24"/>
        </w:rPr>
      </w:pPr>
      <w:r w:rsidRPr="00733ECA">
        <w:rPr>
          <w:rFonts w:ascii="Times New Roman" w:hAnsi="Times New Roman"/>
          <w:b/>
          <w:sz w:val="24"/>
        </w:rPr>
        <w:t>Partnerships</w:t>
      </w:r>
    </w:p>
    <w:p w:rsidR="00733ECA" w:rsidRDefault="00733ECA" w:rsidP="002E04A8">
      <w:pPr>
        <w:pStyle w:val="Subpartsanswer"/>
        <w:tabs>
          <w:tab w:val="clear" w:pos="1296"/>
          <w:tab w:val="left" w:pos="1440"/>
        </w:tabs>
        <w:ind w:left="1440" w:hanging="720"/>
        <w:jc w:val="left"/>
        <w:rPr>
          <w:rFonts w:ascii="Times New Roman" w:hAnsi="Times New Roman"/>
          <w:sz w:val="24"/>
        </w:rPr>
      </w:pPr>
    </w:p>
    <w:p w:rsidR="00775555" w:rsidRDefault="00733ECA" w:rsidP="002E04A8">
      <w:pPr>
        <w:pStyle w:val="Subpartsanswer"/>
        <w:tabs>
          <w:tab w:val="clear" w:pos="576"/>
          <w:tab w:val="clear" w:pos="1296"/>
        </w:tabs>
        <w:ind w:left="720" w:hanging="720"/>
        <w:jc w:val="left"/>
        <w:rPr>
          <w:rFonts w:ascii="Times New Roman" w:hAnsi="Times New Roman"/>
          <w:sz w:val="24"/>
        </w:rPr>
      </w:pPr>
      <w:r>
        <w:rPr>
          <w:rFonts w:ascii="Times New Roman" w:hAnsi="Times New Roman"/>
          <w:sz w:val="24"/>
        </w:rPr>
        <w:t>4</w:t>
      </w:r>
      <w:r w:rsidR="00775555">
        <w:rPr>
          <w:rFonts w:ascii="Times New Roman" w:hAnsi="Times New Roman"/>
          <w:sz w:val="24"/>
        </w:rPr>
        <w:t>.</w:t>
      </w:r>
      <w:r w:rsidR="00775555">
        <w:rPr>
          <w:rFonts w:ascii="Times New Roman" w:hAnsi="Times New Roman"/>
          <w:sz w:val="24"/>
        </w:rPr>
        <w:tab/>
        <w:t>Partnerships, which are not taxable entities, must file Form 1065 (an information return).</w:t>
      </w:r>
      <w:r w:rsidR="00536955">
        <w:rPr>
          <w:rFonts w:ascii="Times New Roman" w:hAnsi="Times New Roman"/>
          <w:sz w:val="24"/>
        </w:rPr>
        <w:t xml:space="preserve"> </w:t>
      </w:r>
      <w:r w:rsidR="00122B5E">
        <w:rPr>
          <w:rFonts w:ascii="Times New Roman" w:hAnsi="Times New Roman"/>
          <w:sz w:val="24"/>
        </w:rPr>
        <w:t xml:space="preserve">Each partner receives a </w:t>
      </w:r>
      <w:r w:rsidR="00775555">
        <w:rPr>
          <w:rFonts w:ascii="Times New Roman" w:hAnsi="Times New Roman"/>
          <w:sz w:val="24"/>
        </w:rPr>
        <w:t>Schedule K</w:t>
      </w:r>
      <w:r w:rsidR="00122B5E">
        <w:rPr>
          <w:rFonts w:ascii="Times New Roman" w:hAnsi="Times New Roman"/>
          <w:sz w:val="24"/>
        </w:rPr>
        <w:t>-1</w:t>
      </w:r>
      <w:r w:rsidR="004F1EF5">
        <w:rPr>
          <w:rFonts w:ascii="Times New Roman" w:hAnsi="Times New Roman"/>
          <w:sz w:val="24"/>
        </w:rPr>
        <w:t xml:space="preserve"> </w:t>
      </w:r>
      <w:r w:rsidR="00122B5E">
        <w:rPr>
          <w:rFonts w:ascii="Times New Roman" w:hAnsi="Times New Roman"/>
          <w:sz w:val="24"/>
        </w:rPr>
        <w:t xml:space="preserve">that </w:t>
      </w:r>
      <w:r w:rsidR="00775555">
        <w:rPr>
          <w:rFonts w:ascii="Times New Roman" w:hAnsi="Times New Roman"/>
          <w:sz w:val="24"/>
        </w:rPr>
        <w:t xml:space="preserve">reports </w:t>
      </w:r>
      <w:r w:rsidR="00122B5E">
        <w:rPr>
          <w:rFonts w:ascii="Times New Roman" w:hAnsi="Times New Roman"/>
          <w:sz w:val="24"/>
        </w:rPr>
        <w:t xml:space="preserve">the partner’s share of </w:t>
      </w:r>
      <w:r w:rsidR="00DD535F">
        <w:rPr>
          <w:rFonts w:ascii="Times New Roman" w:hAnsi="Times New Roman"/>
          <w:sz w:val="24"/>
        </w:rPr>
        <w:t>ordinary business income (loss)</w:t>
      </w:r>
      <w:r w:rsidR="00775555">
        <w:rPr>
          <w:rFonts w:ascii="Times New Roman" w:hAnsi="Times New Roman"/>
          <w:sz w:val="24"/>
        </w:rPr>
        <w:t xml:space="preserve"> </w:t>
      </w:r>
      <w:r w:rsidR="00122B5E">
        <w:rPr>
          <w:rFonts w:ascii="Times New Roman" w:hAnsi="Times New Roman"/>
          <w:sz w:val="24"/>
        </w:rPr>
        <w:t>a</w:t>
      </w:r>
      <w:r w:rsidR="00775555">
        <w:rPr>
          <w:rFonts w:ascii="Times New Roman" w:hAnsi="Times New Roman"/>
          <w:sz w:val="24"/>
        </w:rPr>
        <w:t xml:space="preserve">long with </w:t>
      </w:r>
      <w:r w:rsidR="00122B5E">
        <w:rPr>
          <w:rFonts w:ascii="Times New Roman" w:hAnsi="Times New Roman"/>
          <w:sz w:val="24"/>
        </w:rPr>
        <w:t xml:space="preserve">each separately reported </w:t>
      </w:r>
      <w:r w:rsidR="00775555">
        <w:rPr>
          <w:rFonts w:ascii="Times New Roman" w:hAnsi="Times New Roman"/>
          <w:sz w:val="24"/>
        </w:rPr>
        <w:t>pass-through item. Schedule K-1 items are reported on each partner’s return.</w:t>
      </w:r>
    </w:p>
    <w:p w:rsidR="00122B5E" w:rsidRDefault="00122B5E" w:rsidP="002E04A8">
      <w:pPr>
        <w:pStyle w:val="Subpartsanswer"/>
        <w:tabs>
          <w:tab w:val="clear" w:pos="1296"/>
          <w:tab w:val="left" w:pos="1440"/>
        </w:tabs>
        <w:ind w:left="1440" w:hanging="720"/>
        <w:jc w:val="left"/>
        <w:rPr>
          <w:rFonts w:ascii="Times New Roman" w:hAnsi="Times New Roman"/>
          <w:sz w:val="24"/>
        </w:rPr>
      </w:pPr>
    </w:p>
    <w:p w:rsidR="00D07162" w:rsidRPr="00D07162" w:rsidRDefault="00D07162" w:rsidP="002E04A8">
      <w:pPr>
        <w:pStyle w:val="Subpartsanswer"/>
        <w:tabs>
          <w:tab w:val="clear" w:pos="1296"/>
          <w:tab w:val="left" w:pos="1440"/>
        </w:tabs>
        <w:ind w:left="1440" w:hanging="1440"/>
        <w:jc w:val="left"/>
        <w:rPr>
          <w:rFonts w:ascii="Times New Roman" w:hAnsi="Times New Roman"/>
          <w:b/>
          <w:sz w:val="24"/>
        </w:rPr>
      </w:pPr>
      <w:r w:rsidRPr="00D07162">
        <w:rPr>
          <w:rFonts w:ascii="Times New Roman" w:hAnsi="Times New Roman"/>
          <w:b/>
          <w:sz w:val="24"/>
        </w:rPr>
        <w:t>Corporations</w:t>
      </w:r>
    </w:p>
    <w:p w:rsidR="00D07162" w:rsidRDefault="00D07162" w:rsidP="002E04A8">
      <w:pPr>
        <w:pStyle w:val="Subpartsanswer"/>
        <w:tabs>
          <w:tab w:val="clear" w:pos="1296"/>
          <w:tab w:val="left" w:pos="1440"/>
        </w:tabs>
        <w:ind w:left="1440" w:hanging="1440"/>
        <w:jc w:val="left"/>
        <w:rPr>
          <w:rFonts w:ascii="Times New Roman" w:hAnsi="Times New Roman"/>
          <w:sz w:val="24"/>
        </w:rPr>
      </w:pPr>
    </w:p>
    <w:p w:rsidR="00122B5E" w:rsidRDefault="00B728D8" w:rsidP="002E04A8">
      <w:pPr>
        <w:pStyle w:val="Subpartsanswer"/>
        <w:tabs>
          <w:tab w:val="clear" w:pos="576"/>
          <w:tab w:val="clear" w:pos="1296"/>
        </w:tabs>
        <w:ind w:left="720" w:hanging="720"/>
        <w:jc w:val="left"/>
        <w:rPr>
          <w:rFonts w:ascii="Times New Roman" w:hAnsi="Times New Roman"/>
          <w:sz w:val="24"/>
        </w:rPr>
      </w:pPr>
      <w:r>
        <w:rPr>
          <w:rFonts w:ascii="Times New Roman" w:hAnsi="Times New Roman"/>
          <w:sz w:val="24"/>
        </w:rPr>
        <w:t>5.</w:t>
      </w:r>
      <w:r>
        <w:rPr>
          <w:rFonts w:ascii="Times New Roman" w:hAnsi="Times New Roman"/>
          <w:sz w:val="24"/>
        </w:rPr>
        <w:tab/>
      </w:r>
      <w:r w:rsidR="00122B5E">
        <w:rPr>
          <w:rFonts w:ascii="Times New Roman" w:hAnsi="Times New Roman"/>
          <w:sz w:val="24"/>
        </w:rPr>
        <w:t xml:space="preserve">There are two types of corporations: regular corporations governed by Subchapter C and </w:t>
      </w:r>
      <w:r w:rsidR="00C54D91">
        <w:rPr>
          <w:rFonts w:ascii="Times New Roman" w:hAnsi="Times New Roman"/>
          <w:sz w:val="24"/>
        </w:rPr>
        <w:t xml:space="preserve">nontaxable </w:t>
      </w:r>
      <w:r w:rsidR="00C54D91" w:rsidRPr="00C54D91">
        <w:rPr>
          <w:rFonts w:ascii="Times New Roman" w:hAnsi="Times New Roman"/>
          <w:sz w:val="24"/>
        </w:rPr>
        <w:t>corporation</w:t>
      </w:r>
      <w:r w:rsidR="000E0475">
        <w:rPr>
          <w:rFonts w:ascii="Times New Roman" w:hAnsi="Times New Roman"/>
          <w:sz w:val="24"/>
        </w:rPr>
        <w:t>s</w:t>
      </w:r>
      <w:r w:rsidR="00C54D91">
        <w:rPr>
          <w:rFonts w:ascii="Times New Roman" w:hAnsi="Times New Roman"/>
          <w:sz w:val="24"/>
        </w:rPr>
        <w:t xml:space="preserve"> governed by Subchapter S.</w:t>
      </w:r>
      <w:r w:rsidR="00DD7240">
        <w:rPr>
          <w:rFonts w:ascii="Times New Roman" w:hAnsi="Times New Roman"/>
          <w:sz w:val="24"/>
        </w:rPr>
        <w:t xml:space="preserve"> S corporations have the following characteristics.</w:t>
      </w:r>
    </w:p>
    <w:p w:rsidR="00122B5E" w:rsidRDefault="00122B5E" w:rsidP="002E04A8">
      <w:pPr>
        <w:pStyle w:val="Subpartsanswer"/>
        <w:tabs>
          <w:tab w:val="clear" w:pos="576"/>
          <w:tab w:val="clear" w:pos="1296"/>
        </w:tabs>
        <w:ind w:left="720" w:hanging="720"/>
        <w:jc w:val="left"/>
        <w:rPr>
          <w:rFonts w:ascii="Times New Roman" w:hAnsi="Times New Roman"/>
          <w:sz w:val="24"/>
        </w:rPr>
      </w:pPr>
    </w:p>
    <w:p w:rsidR="00DD7240" w:rsidRDefault="000D54AD" w:rsidP="002E04A8">
      <w:pPr>
        <w:pStyle w:val="Subpartsanswer"/>
        <w:numPr>
          <w:ilvl w:val="0"/>
          <w:numId w:val="35"/>
        </w:numPr>
        <w:tabs>
          <w:tab w:val="clear" w:pos="576"/>
          <w:tab w:val="clear" w:pos="1296"/>
          <w:tab w:val="clear" w:pos="1368"/>
          <w:tab w:val="num" w:pos="1440"/>
        </w:tabs>
        <w:ind w:hanging="720"/>
        <w:jc w:val="left"/>
        <w:rPr>
          <w:rFonts w:ascii="Times New Roman" w:hAnsi="Times New Roman"/>
          <w:sz w:val="24"/>
        </w:rPr>
      </w:pPr>
      <w:r>
        <w:rPr>
          <w:rFonts w:ascii="Times New Roman" w:hAnsi="Times New Roman"/>
          <w:sz w:val="24"/>
        </w:rPr>
        <w:t>S</w:t>
      </w:r>
      <w:r w:rsidR="00775555">
        <w:rPr>
          <w:rFonts w:ascii="Times New Roman" w:hAnsi="Times New Roman"/>
          <w:sz w:val="24"/>
        </w:rPr>
        <w:t>imilar to partnership</w:t>
      </w:r>
      <w:r w:rsidR="006450A6">
        <w:rPr>
          <w:rFonts w:ascii="Times New Roman" w:hAnsi="Times New Roman"/>
          <w:sz w:val="24"/>
        </w:rPr>
        <w:t>s</w:t>
      </w:r>
      <w:r w:rsidR="00775555">
        <w:rPr>
          <w:rFonts w:ascii="Times New Roman" w:hAnsi="Times New Roman"/>
          <w:sz w:val="24"/>
        </w:rPr>
        <w:t xml:space="preserve"> with respect to tax treatment</w:t>
      </w:r>
      <w:r w:rsidR="00C54D91">
        <w:rPr>
          <w:rFonts w:ascii="Times New Roman" w:hAnsi="Times New Roman"/>
          <w:sz w:val="24"/>
        </w:rPr>
        <w:t xml:space="preserve"> because </w:t>
      </w:r>
      <w:r w:rsidR="006450A6">
        <w:rPr>
          <w:rFonts w:ascii="Times New Roman" w:hAnsi="Times New Roman"/>
          <w:sz w:val="24"/>
        </w:rPr>
        <w:t>both are not taxable entities</w:t>
      </w:r>
      <w:r w:rsidR="00775555">
        <w:rPr>
          <w:rFonts w:ascii="Times New Roman" w:hAnsi="Times New Roman"/>
          <w:sz w:val="24"/>
        </w:rPr>
        <w:t xml:space="preserve">, but </w:t>
      </w:r>
      <w:r w:rsidR="006450A6">
        <w:rPr>
          <w:rFonts w:ascii="Times New Roman" w:hAnsi="Times New Roman"/>
          <w:sz w:val="24"/>
        </w:rPr>
        <w:t xml:space="preserve">are </w:t>
      </w:r>
      <w:r w:rsidR="00775555">
        <w:rPr>
          <w:rFonts w:ascii="Times New Roman" w:hAnsi="Times New Roman"/>
          <w:sz w:val="24"/>
        </w:rPr>
        <w:t>reporting entit</w:t>
      </w:r>
      <w:r w:rsidR="006450A6">
        <w:rPr>
          <w:rFonts w:ascii="Times New Roman" w:hAnsi="Times New Roman"/>
          <w:sz w:val="24"/>
        </w:rPr>
        <w:t>ies</w:t>
      </w:r>
      <w:r w:rsidR="00447146">
        <w:rPr>
          <w:rFonts w:ascii="Times New Roman" w:hAnsi="Times New Roman"/>
          <w:sz w:val="24"/>
        </w:rPr>
        <w:t xml:space="preserve"> (Form 1120S)</w:t>
      </w:r>
      <w:r w:rsidR="00DD7240">
        <w:rPr>
          <w:rFonts w:ascii="Times New Roman" w:hAnsi="Times New Roman"/>
          <w:sz w:val="24"/>
        </w:rPr>
        <w:t>.</w:t>
      </w:r>
    </w:p>
    <w:p w:rsidR="00DD7240" w:rsidRDefault="00ED08A4" w:rsidP="002E04A8">
      <w:pPr>
        <w:pStyle w:val="Subpartsanswer"/>
        <w:numPr>
          <w:ilvl w:val="0"/>
          <w:numId w:val="35"/>
        </w:numPr>
        <w:tabs>
          <w:tab w:val="clear" w:pos="576"/>
          <w:tab w:val="clear" w:pos="1296"/>
          <w:tab w:val="clear" w:pos="1368"/>
          <w:tab w:val="num" w:pos="1440"/>
        </w:tabs>
        <w:ind w:hanging="720"/>
        <w:jc w:val="left"/>
        <w:rPr>
          <w:rFonts w:ascii="Times New Roman" w:hAnsi="Times New Roman"/>
          <w:sz w:val="24"/>
        </w:rPr>
      </w:pPr>
      <w:r>
        <w:rPr>
          <w:rFonts w:ascii="Times New Roman" w:hAnsi="Times New Roman"/>
          <w:sz w:val="24"/>
        </w:rPr>
        <w:t>I</w:t>
      </w:r>
      <w:r w:rsidR="00775555">
        <w:rPr>
          <w:rFonts w:ascii="Times New Roman" w:hAnsi="Times New Roman"/>
          <w:sz w:val="24"/>
        </w:rPr>
        <w:t xml:space="preserve">ncome and expense items </w:t>
      </w:r>
      <w:r>
        <w:rPr>
          <w:rFonts w:ascii="Times New Roman" w:hAnsi="Times New Roman"/>
          <w:sz w:val="24"/>
        </w:rPr>
        <w:t xml:space="preserve">pass </w:t>
      </w:r>
      <w:r w:rsidR="00775555">
        <w:rPr>
          <w:rFonts w:ascii="Times New Roman" w:hAnsi="Times New Roman"/>
          <w:sz w:val="24"/>
        </w:rPr>
        <w:t>through to shareholders, who report the items on their own returns.</w:t>
      </w:r>
      <w:r w:rsidR="00536955">
        <w:rPr>
          <w:rFonts w:ascii="Times New Roman" w:hAnsi="Times New Roman"/>
          <w:sz w:val="24"/>
        </w:rPr>
        <w:t xml:space="preserve"> </w:t>
      </w:r>
    </w:p>
    <w:p w:rsidR="00775555" w:rsidRDefault="000D54AD" w:rsidP="002E04A8">
      <w:pPr>
        <w:pStyle w:val="Subpartsanswer"/>
        <w:numPr>
          <w:ilvl w:val="0"/>
          <w:numId w:val="35"/>
        </w:numPr>
        <w:tabs>
          <w:tab w:val="clear" w:pos="576"/>
          <w:tab w:val="clear" w:pos="1296"/>
          <w:tab w:val="clear" w:pos="1368"/>
          <w:tab w:val="num" w:pos="1440"/>
        </w:tabs>
        <w:ind w:hanging="720"/>
        <w:jc w:val="left"/>
        <w:rPr>
          <w:rFonts w:ascii="Times New Roman" w:hAnsi="Times New Roman"/>
          <w:sz w:val="24"/>
        </w:rPr>
      </w:pPr>
      <w:r>
        <w:rPr>
          <w:rFonts w:ascii="Times New Roman" w:hAnsi="Times New Roman"/>
          <w:sz w:val="24"/>
        </w:rPr>
        <w:t>G</w:t>
      </w:r>
      <w:r w:rsidR="00775555">
        <w:rPr>
          <w:rFonts w:ascii="Times New Roman" w:hAnsi="Times New Roman"/>
          <w:sz w:val="24"/>
        </w:rPr>
        <w:t>enerally enjoy the same legal benefits (e.g., limited liability) as</w:t>
      </w:r>
      <w:r w:rsidR="005B794F">
        <w:rPr>
          <w:rFonts w:ascii="Times New Roman" w:hAnsi="Times New Roman"/>
          <w:sz w:val="24"/>
        </w:rPr>
        <w:t xml:space="preserve"> </w:t>
      </w:r>
      <w:r w:rsidR="00775555">
        <w:rPr>
          <w:rFonts w:ascii="Times New Roman" w:hAnsi="Times New Roman"/>
          <w:sz w:val="24"/>
        </w:rPr>
        <w:t>C corporation</w:t>
      </w:r>
      <w:r w:rsidR="005B794F">
        <w:rPr>
          <w:rFonts w:ascii="Times New Roman" w:hAnsi="Times New Roman"/>
          <w:sz w:val="24"/>
        </w:rPr>
        <w:t>s</w:t>
      </w:r>
      <w:r w:rsidR="00775555">
        <w:rPr>
          <w:rFonts w:ascii="Times New Roman" w:hAnsi="Times New Roman"/>
          <w:sz w:val="24"/>
        </w:rPr>
        <w:t>.</w:t>
      </w:r>
    </w:p>
    <w:p w:rsidR="00775555" w:rsidRDefault="00775555" w:rsidP="002E04A8">
      <w:pPr>
        <w:pStyle w:val="subquestionpara"/>
        <w:tabs>
          <w:tab w:val="clear" w:pos="1152"/>
          <w:tab w:val="left" w:pos="1440"/>
        </w:tabs>
        <w:ind w:left="1440" w:hanging="720"/>
        <w:rPr>
          <w:rFonts w:ascii="Times New Roman" w:hAnsi="Times New Roman"/>
          <w:sz w:val="24"/>
        </w:rPr>
      </w:pPr>
    </w:p>
    <w:p w:rsidR="00775555" w:rsidRDefault="003C0C5B" w:rsidP="002E04A8">
      <w:pPr>
        <w:pStyle w:val="subquestionpara"/>
        <w:tabs>
          <w:tab w:val="clear" w:pos="1152"/>
        </w:tabs>
        <w:spacing w:after="240"/>
        <w:ind w:left="720" w:hanging="720"/>
        <w:rPr>
          <w:rFonts w:ascii="Times New Roman" w:hAnsi="Times New Roman"/>
          <w:sz w:val="24"/>
        </w:rPr>
      </w:pPr>
      <w:r>
        <w:rPr>
          <w:rFonts w:ascii="Times New Roman" w:hAnsi="Times New Roman"/>
          <w:sz w:val="24"/>
        </w:rPr>
        <w:t>6</w:t>
      </w:r>
      <w:r w:rsidR="00775555">
        <w:rPr>
          <w:rFonts w:ascii="Times New Roman" w:hAnsi="Times New Roman"/>
          <w:sz w:val="24"/>
        </w:rPr>
        <w:t>.</w:t>
      </w:r>
      <w:r w:rsidR="00775555">
        <w:rPr>
          <w:rFonts w:ascii="Times New Roman" w:hAnsi="Times New Roman"/>
          <w:sz w:val="24"/>
        </w:rPr>
        <w:tab/>
        <w:t>Many items, such as capital gains and losses, retain their character when passed through to the owners of proprietorships, partnerships, and S corporations.</w:t>
      </w:r>
    </w:p>
    <w:p w:rsidR="00077E39" w:rsidRDefault="003C0C5B" w:rsidP="002E04A8">
      <w:pPr>
        <w:pStyle w:val="subquestionpara"/>
        <w:tabs>
          <w:tab w:val="clear" w:pos="1152"/>
        </w:tabs>
        <w:spacing w:after="240"/>
        <w:ind w:left="720" w:hanging="720"/>
        <w:rPr>
          <w:rFonts w:ascii="Times New Roman" w:hAnsi="Times New Roman"/>
          <w:sz w:val="24"/>
        </w:rPr>
      </w:pPr>
      <w:r>
        <w:rPr>
          <w:rFonts w:ascii="Times New Roman" w:hAnsi="Times New Roman"/>
          <w:sz w:val="24"/>
        </w:rPr>
        <w:t>7.</w:t>
      </w:r>
      <w:r>
        <w:rPr>
          <w:rFonts w:ascii="Times New Roman" w:hAnsi="Times New Roman"/>
          <w:sz w:val="24"/>
        </w:rPr>
        <w:tab/>
        <w:t xml:space="preserve">Regular C corporations are subject to double taxation effects. </w:t>
      </w:r>
    </w:p>
    <w:p w:rsidR="003C0C5B" w:rsidRDefault="00077E39" w:rsidP="00CD3C31">
      <w:pPr>
        <w:pStyle w:val="subquestionpara"/>
        <w:tabs>
          <w:tab w:val="clear" w:pos="1152"/>
        </w:tabs>
        <w:spacing w:after="240"/>
        <w:ind w:left="1440" w:hanging="720"/>
        <w:rPr>
          <w:rFonts w:ascii="Times New Roman" w:hAnsi="Times New Roman"/>
          <w:sz w:val="24"/>
        </w:rPr>
      </w:pPr>
      <w:r>
        <w:rPr>
          <w:rFonts w:ascii="Times New Roman" w:hAnsi="Times New Roman"/>
          <w:sz w:val="24"/>
        </w:rPr>
        <w:t>a.</w:t>
      </w:r>
      <w:r>
        <w:rPr>
          <w:rFonts w:ascii="Times New Roman" w:hAnsi="Times New Roman"/>
          <w:sz w:val="24"/>
        </w:rPr>
        <w:tab/>
        <w:t>C</w:t>
      </w:r>
      <w:r w:rsidR="003C0C5B">
        <w:rPr>
          <w:rFonts w:ascii="Times New Roman" w:hAnsi="Times New Roman"/>
          <w:sz w:val="24"/>
        </w:rPr>
        <w:t>losely held corporations may attempt to avoi</w:t>
      </w:r>
      <w:r w:rsidR="00EB47D9">
        <w:rPr>
          <w:rFonts w:ascii="Times New Roman" w:hAnsi="Times New Roman"/>
          <w:sz w:val="24"/>
        </w:rPr>
        <w:t xml:space="preserve">d the double taxation by making </w:t>
      </w:r>
      <w:r w:rsidR="00C54D91">
        <w:rPr>
          <w:rFonts w:ascii="Times New Roman" w:hAnsi="Times New Roman"/>
          <w:sz w:val="24"/>
        </w:rPr>
        <w:t xml:space="preserve">deductible payments to their shareholders (e.g., salaries, interest, or rents) </w:t>
      </w:r>
      <w:r>
        <w:rPr>
          <w:rFonts w:ascii="Times New Roman" w:hAnsi="Times New Roman"/>
          <w:sz w:val="24"/>
        </w:rPr>
        <w:t xml:space="preserve">that </w:t>
      </w:r>
      <w:r w:rsidR="00C54D91">
        <w:rPr>
          <w:rFonts w:ascii="Times New Roman" w:hAnsi="Times New Roman"/>
          <w:sz w:val="24"/>
        </w:rPr>
        <w:t>are</w:t>
      </w:r>
      <w:r w:rsidR="00EB47D9">
        <w:rPr>
          <w:rFonts w:ascii="Times New Roman" w:hAnsi="Times New Roman"/>
          <w:sz w:val="24"/>
        </w:rPr>
        <w:t xml:space="preserve"> l</w:t>
      </w:r>
      <w:r w:rsidR="003C0C5B">
        <w:rPr>
          <w:rFonts w:ascii="Times New Roman" w:hAnsi="Times New Roman"/>
          <w:sz w:val="24"/>
        </w:rPr>
        <w:t>arge enough to reduce corporate taxable income to zero.</w:t>
      </w:r>
      <w:r w:rsidR="00C54D91" w:rsidRPr="00C54D91">
        <w:rPr>
          <w:rFonts w:ascii="Times New Roman" w:hAnsi="Times New Roman"/>
          <w:sz w:val="24"/>
        </w:rPr>
        <w:t xml:space="preserve"> </w:t>
      </w:r>
    </w:p>
    <w:p w:rsidR="00EB47D9" w:rsidRDefault="00077E39" w:rsidP="00CD3C31">
      <w:pPr>
        <w:pStyle w:val="subquestionpara"/>
        <w:tabs>
          <w:tab w:val="clear" w:pos="1152"/>
        </w:tabs>
        <w:spacing w:after="240"/>
        <w:ind w:left="1440" w:hanging="720"/>
        <w:rPr>
          <w:rFonts w:ascii="Times New Roman" w:hAnsi="Times New Roman"/>
          <w:sz w:val="24"/>
        </w:rPr>
      </w:pPr>
      <w:r>
        <w:rPr>
          <w:rFonts w:ascii="Times New Roman" w:hAnsi="Times New Roman"/>
          <w:sz w:val="24"/>
        </w:rPr>
        <w:t>b.</w:t>
      </w:r>
      <w:r>
        <w:rPr>
          <w:rFonts w:ascii="Times New Roman" w:hAnsi="Times New Roman"/>
          <w:sz w:val="24"/>
        </w:rPr>
        <w:tab/>
      </w:r>
      <w:r w:rsidR="005B794F">
        <w:rPr>
          <w:rFonts w:ascii="Times New Roman" w:hAnsi="Times New Roman"/>
          <w:sz w:val="24"/>
        </w:rPr>
        <w:t>R</w:t>
      </w:r>
      <w:r w:rsidR="006541DB">
        <w:rPr>
          <w:rFonts w:ascii="Times New Roman" w:hAnsi="Times New Roman"/>
          <w:sz w:val="24"/>
        </w:rPr>
        <w:t xml:space="preserve">eduction of the dividend tax rate to a maximum of 15% </w:t>
      </w:r>
      <w:r w:rsidR="0002740E">
        <w:rPr>
          <w:rFonts w:ascii="Times New Roman" w:hAnsi="Times New Roman"/>
          <w:sz w:val="24"/>
        </w:rPr>
        <w:t xml:space="preserve">or 20% </w:t>
      </w:r>
      <w:r w:rsidR="006541DB">
        <w:rPr>
          <w:rFonts w:ascii="Times New Roman" w:hAnsi="Times New Roman"/>
          <w:sz w:val="24"/>
        </w:rPr>
        <w:t>(</w:t>
      </w:r>
      <w:r w:rsidR="008D1AC5">
        <w:rPr>
          <w:rFonts w:ascii="Times New Roman" w:hAnsi="Times New Roman"/>
          <w:sz w:val="24"/>
        </w:rPr>
        <w:t>0</w:t>
      </w:r>
      <w:r w:rsidR="006541DB">
        <w:rPr>
          <w:rFonts w:ascii="Times New Roman" w:hAnsi="Times New Roman"/>
          <w:sz w:val="24"/>
        </w:rPr>
        <w:t>% for low-income taxpayers)</w:t>
      </w:r>
      <w:r w:rsidR="00C54D91">
        <w:rPr>
          <w:rFonts w:ascii="Times New Roman" w:hAnsi="Times New Roman"/>
          <w:sz w:val="24"/>
        </w:rPr>
        <w:t xml:space="preserve"> </w:t>
      </w:r>
      <w:r w:rsidR="00E85B5A">
        <w:rPr>
          <w:rFonts w:ascii="Times New Roman" w:hAnsi="Times New Roman"/>
          <w:sz w:val="24"/>
        </w:rPr>
        <w:t xml:space="preserve">alleviates some of the </w:t>
      </w:r>
      <w:r w:rsidR="00B2744D">
        <w:rPr>
          <w:rFonts w:ascii="Times New Roman" w:hAnsi="Times New Roman"/>
          <w:sz w:val="24"/>
        </w:rPr>
        <w:t>double taxation</w:t>
      </w:r>
      <w:r w:rsidR="00E85B5A">
        <w:rPr>
          <w:rFonts w:ascii="Times New Roman" w:hAnsi="Times New Roman"/>
          <w:sz w:val="24"/>
        </w:rPr>
        <w:t xml:space="preserve"> effect</w:t>
      </w:r>
      <w:r w:rsidR="00B2744D">
        <w:rPr>
          <w:rFonts w:ascii="Times New Roman" w:hAnsi="Times New Roman"/>
          <w:sz w:val="24"/>
        </w:rPr>
        <w:t xml:space="preserve">. </w:t>
      </w:r>
    </w:p>
    <w:p w:rsidR="00EB47D9" w:rsidRDefault="00EB47D9" w:rsidP="00CD3C31">
      <w:pPr>
        <w:pStyle w:val="subquestionpara"/>
        <w:tabs>
          <w:tab w:val="clear" w:pos="1152"/>
        </w:tabs>
        <w:spacing w:after="240"/>
        <w:ind w:left="2160" w:hanging="720"/>
        <w:rPr>
          <w:rFonts w:ascii="Times New Roman" w:hAnsi="Times New Roman"/>
          <w:sz w:val="24"/>
        </w:rPr>
      </w:pPr>
      <w:r>
        <w:rPr>
          <w:rFonts w:ascii="Times New Roman" w:hAnsi="Times New Roman"/>
          <w:sz w:val="24"/>
        </w:rPr>
        <w:t>(1)</w:t>
      </w:r>
      <w:r>
        <w:rPr>
          <w:rFonts w:ascii="Times New Roman" w:hAnsi="Times New Roman"/>
          <w:sz w:val="24"/>
        </w:rPr>
        <w:tab/>
      </w:r>
      <w:r w:rsidR="00B2744D">
        <w:rPr>
          <w:rFonts w:ascii="Times New Roman" w:hAnsi="Times New Roman"/>
          <w:sz w:val="24"/>
        </w:rPr>
        <w:t>Shareholders prefer dividends rather than salary</w:t>
      </w:r>
      <w:r>
        <w:rPr>
          <w:rFonts w:ascii="Times New Roman" w:hAnsi="Times New Roman"/>
          <w:sz w:val="24"/>
        </w:rPr>
        <w:t xml:space="preserve"> or interest </w:t>
      </w:r>
      <w:r w:rsidR="00B2744D">
        <w:rPr>
          <w:rFonts w:ascii="Times New Roman" w:hAnsi="Times New Roman"/>
          <w:sz w:val="24"/>
        </w:rPr>
        <w:t>because of</w:t>
      </w:r>
      <w:r w:rsidR="00644068">
        <w:rPr>
          <w:rFonts w:ascii="Times New Roman" w:hAnsi="Times New Roman"/>
          <w:sz w:val="24"/>
        </w:rPr>
        <w:t xml:space="preserve"> </w:t>
      </w:r>
      <w:r w:rsidR="00B2744D">
        <w:rPr>
          <w:rFonts w:ascii="Times New Roman" w:hAnsi="Times New Roman"/>
          <w:sz w:val="24"/>
        </w:rPr>
        <w:t>the low</w:t>
      </w:r>
      <w:r w:rsidR="00E85B5A">
        <w:rPr>
          <w:rFonts w:ascii="Times New Roman" w:hAnsi="Times New Roman"/>
          <w:sz w:val="24"/>
        </w:rPr>
        <w:t>er</w:t>
      </w:r>
      <w:r w:rsidR="00B2744D">
        <w:rPr>
          <w:rFonts w:ascii="Times New Roman" w:hAnsi="Times New Roman"/>
          <w:sz w:val="24"/>
        </w:rPr>
        <w:t xml:space="preserve"> tax rate</w:t>
      </w:r>
      <w:r w:rsidR="00717756">
        <w:rPr>
          <w:rFonts w:ascii="Times New Roman" w:hAnsi="Times New Roman"/>
          <w:sz w:val="24"/>
        </w:rPr>
        <w:t xml:space="preserve"> dividends receive</w:t>
      </w:r>
      <w:r>
        <w:rPr>
          <w:rFonts w:ascii="Times New Roman" w:hAnsi="Times New Roman"/>
          <w:sz w:val="24"/>
        </w:rPr>
        <w:t>.</w:t>
      </w:r>
    </w:p>
    <w:p w:rsidR="00077E39" w:rsidRPr="00927824" w:rsidRDefault="00EB47D9" w:rsidP="00CD3C31">
      <w:pPr>
        <w:pStyle w:val="subquestionpara"/>
        <w:tabs>
          <w:tab w:val="clear" w:pos="1152"/>
        </w:tabs>
        <w:spacing w:after="240"/>
        <w:ind w:left="2160" w:hanging="720"/>
        <w:rPr>
          <w:rFonts w:ascii="Times New Roman" w:hAnsi="Times New Roman"/>
          <w:spacing w:val="-4"/>
          <w:sz w:val="24"/>
        </w:rPr>
      </w:pPr>
      <w:r>
        <w:rPr>
          <w:rFonts w:ascii="Times New Roman" w:hAnsi="Times New Roman"/>
          <w:sz w:val="24"/>
        </w:rPr>
        <w:t>(2)</w:t>
      </w:r>
      <w:r>
        <w:rPr>
          <w:rFonts w:ascii="Times New Roman" w:hAnsi="Times New Roman"/>
          <w:sz w:val="24"/>
        </w:rPr>
        <w:tab/>
      </w:r>
      <w:r w:rsidR="005E4CB4" w:rsidRPr="00927824">
        <w:rPr>
          <w:rFonts w:ascii="Times New Roman" w:hAnsi="Times New Roman"/>
          <w:spacing w:val="-4"/>
          <w:sz w:val="24"/>
        </w:rPr>
        <w:t xml:space="preserve">Corporations prefer payments that are deductible in computing their taxable income. However, dividends do reduce </w:t>
      </w:r>
      <w:r w:rsidR="00644068" w:rsidRPr="00927824">
        <w:rPr>
          <w:rFonts w:ascii="Times New Roman" w:hAnsi="Times New Roman"/>
          <w:spacing w:val="-4"/>
          <w:sz w:val="24"/>
        </w:rPr>
        <w:t xml:space="preserve">the </w:t>
      </w:r>
      <w:r w:rsidR="00F81151" w:rsidRPr="00927824">
        <w:rPr>
          <w:rFonts w:ascii="Times New Roman" w:hAnsi="Times New Roman"/>
          <w:spacing w:val="-4"/>
          <w:sz w:val="24"/>
        </w:rPr>
        <w:t>possibl</w:t>
      </w:r>
      <w:r w:rsidR="00644068" w:rsidRPr="00927824">
        <w:rPr>
          <w:rFonts w:ascii="Times New Roman" w:hAnsi="Times New Roman"/>
          <w:spacing w:val="-4"/>
          <w:sz w:val="24"/>
        </w:rPr>
        <w:t>e</w:t>
      </w:r>
      <w:r w:rsidR="00F81151" w:rsidRPr="00927824">
        <w:rPr>
          <w:rFonts w:ascii="Times New Roman" w:hAnsi="Times New Roman"/>
          <w:spacing w:val="-4"/>
          <w:sz w:val="24"/>
        </w:rPr>
        <w:t xml:space="preserve"> </w:t>
      </w:r>
      <w:r w:rsidR="002A72B5" w:rsidRPr="00927824">
        <w:rPr>
          <w:rFonts w:ascii="Times New Roman" w:hAnsi="Times New Roman"/>
          <w:spacing w:val="-4"/>
          <w:sz w:val="24"/>
        </w:rPr>
        <w:t>accumulated earning tax, unreasonable compensation</w:t>
      </w:r>
      <w:r w:rsidR="00F81151" w:rsidRPr="00927824">
        <w:rPr>
          <w:rFonts w:ascii="Times New Roman" w:hAnsi="Times New Roman"/>
          <w:spacing w:val="-4"/>
          <w:sz w:val="24"/>
        </w:rPr>
        <w:t>,</w:t>
      </w:r>
      <w:r w:rsidR="002A72B5" w:rsidRPr="00927824">
        <w:rPr>
          <w:rFonts w:ascii="Times New Roman" w:hAnsi="Times New Roman"/>
          <w:spacing w:val="-4"/>
          <w:sz w:val="24"/>
        </w:rPr>
        <w:t xml:space="preserve"> and thin capitalization </w:t>
      </w:r>
      <w:r w:rsidR="00F81151" w:rsidRPr="00927824">
        <w:rPr>
          <w:rFonts w:ascii="Times New Roman" w:hAnsi="Times New Roman"/>
          <w:spacing w:val="-4"/>
          <w:sz w:val="24"/>
        </w:rPr>
        <w:t>problems with the IRS.</w:t>
      </w:r>
    </w:p>
    <w:p w:rsidR="00775555" w:rsidRDefault="00F81151" w:rsidP="002E04A8">
      <w:pPr>
        <w:pStyle w:val="mainanswerparagraph"/>
        <w:jc w:val="left"/>
        <w:rPr>
          <w:rFonts w:ascii="Times New Roman" w:hAnsi="Times New Roman"/>
          <w:sz w:val="24"/>
        </w:rPr>
      </w:pPr>
      <w:r>
        <w:rPr>
          <w:rFonts w:ascii="Times New Roman" w:hAnsi="Times New Roman"/>
          <w:sz w:val="24"/>
        </w:rPr>
        <w:t>8</w:t>
      </w:r>
      <w:r w:rsidR="00775555">
        <w:rPr>
          <w:rFonts w:ascii="Times New Roman" w:hAnsi="Times New Roman"/>
          <w:sz w:val="24"/>
        </w:rPr>
        <w:t>.</w:t>
      </w:r>
      <w:r w:rsidR="00775555">
        <w:rPr>
          <w:rFonts w:ascii="Times New Roman" w:hAnsi="Times New Roman"/>
          <w:sz w:val="24"/>
        </w:rPr>
        <w:tab/>
        <w:t xml:space="preserve">The </w:t>
      </w:r>
      <w:r w:rsidR="00775555" w:rsidRPr="00D52AE4">
        <w:rPr>
          <w:rFonts w:ascii="Times New Roman" w:hAnsi="Times New Roman"/>
          <w:sz w:val="24"/>
        </w:rPr>
        <w:t>choice of entity should be based on a combination of tax and nontax factors.</w:t>
      </w:r>
    </w:p>
    <w:p w:rsidR="000D54AD" w:rsidRPr="00D52AE4" w:rsidRDefault="000D54AD" w:rsidP="002E04A8">
      <w:pPr>
        <w:pStyle w:val="mainanswerparagraph"/>
        <w:jc w:val="left"/>
        <w:rPr>
          <w:rFonts w:ascii="Times New Roman" w:hAnsi="Times New Roman"/>
          <w:sz w:val="24"/>
        </w:rPr>
      </w:pPr>
    </w:p>
    <w:p w:rsidR="00D52AE4" w:rsidRDefault="00EB1FE9" w:rsidP="002E04A8">
      <w:pPr>
        <w:pStyle w:val="Subpartsanswer"/>
        <w:tabs>
          <w:tab w:val="clear" w:pos="1296"/>
          <w:tab w:val="left" w:pos="1440"/>
        </w:tabs>
        <w:spacing w:after="240"/>
        <w:ind w:left="1440" w:hanging="720"/>
        <w:jc w:val="left"/>
        <w:rPr>
          <w:rFonts w:ascii="Times New Roman" w:hAnsi="Times New Roman"/>
          <w:sz w:val="24"/>
        </w:rPr>
      </w:pPr>
      <w:r>
        <w:rPr>
          <w:rFonts w:ascii="Times New Roman" w:hAnsi="Times New Roman"/>
          <w:sz w:val="24"/>
        </w:rPr>
        <w:t>a.</w:t>
      </w:r>
      <w:r>
        <w:rPr>
          <w:rFonts w:ascii="Times New Roman" w:hAnsi="Times New Roman"/>
          <w:sz w:val="24"/>
        </w:rPr>
        <w:tab/>
        <w:t xml:space="preserve">Tax Factors. </w:t>
      </w:r>
      <w:r w:rsidR="006F415B" w:rsidRPr="00D52AE4">
        <w:rPr>
          <w:rFonts w:ascii="Times New Roman" w:hAnsi="Times New Roman"/>
          <w:sz w:val="24"/>
        </w:rPr>
        <w:t xml:space="preserve">The top corporate rate is 35% (39% on a limited range of taxable income), </w:t>
      </w:r>
      <w:r w:rsidR="0002740E">
        <w:rPr>
          <w:rFonts w:ascii="Times New Roman" w:hAnsi="Times New Roman"/>
          <w:sz w:val="24"/>
        </w:rPr>
        <w:t>while</w:t>
      </w:r>
      <w:r w:rsidR="006F415B">
        <w:rPr>
          <w:rFonts w:ascii="Times New Roman" w:hAnsi="Times New Roman"/>
          <w:sz w:val="24"/>
        </w:rPr>
        <w:t xml:space="preserve"> the </w:t>
      </w:r>
      <w:r w:rsidR="006F415B" w:rsidRPr="00D52AE4">
        <w:rPr>
          <w:rFonts w:ascii="Times New Roman" w:hAnsi="Times New Roman"/>
          <w:sz w:val="24"/>
        </w:rPr>
        <w:t xml:space="preserve">top </w:t>
      </w:r>
      <w:r w:rsidR="006F415B">
        <w:rPr>
          <w:rFonts w:ascii="Times New Roman" w:hAnsi="Times New Roman"/>
          <w:sz w:val="24"/>
        </w:rPr>
        <w:t xml:space="preserve">rate for </w:t>
      </w:r>
      <w:proofErr w:type="gramStart"/>
      <w:r w:rsidR="006F415B" w:rsidRPr="00D52AE4">
        <w:rPr>
          <w:rFonts w:ascii="Times New Roman" w:hAnsi="Times New Roman"/>
          <w:sz w:val="24"/>
        </w:rPr>
        <w:t>individual</w:t>
      </w:r>
      <w:r w:rsidR="006F415B">
        <w:rPr>
          <w:rFonts w:ascii="Times New Roman" w:hAnsi="Times New Roman"/>
          <w:sz w:val="24"/>
        </w:rPr>
        <w:t>s</w:t>
      </w:r>
      <w:r w:rsidR="0002740E">
        <w:rPr>
          <w:rFonts w:ascii="Times New Roman" w:hAnsi="Times New Roman"/>
          <w:sz w:val="24"/>
        </w:rPr>
        <w:t xml:space="preserve"> is</w:t>
      </w:r>
      <w:proofErr w:type="gramEnd"/>
      <w:r w:rsidR="0002740E">
        <w:rPr>
          <w:rFonts w:ascii="Times New Roman" w:hAnsi="Times New Roman"/>
          <w:sz w:val="24"/>
        </w:rPr>
        <w:t xml:space="preserve"> 39.6%</w:t>
      </w:r>
      <w:r w:rsidR="006F415B">
        <w:rPr>
          <w:rFonts w:ascii="Times New Roman" w:hAnsi="Times New Roman"/>
          <w:sz w:val="24"/>
        </w:rPr>
        <w:t>.</w:t>
      </w:r>
      <w:r w:rsidR="00651552">
        <w:rPr>
          <w:rFonts w:ascii="Times New Roman" w:hAnsi="Times New Roman"/>
          <w:sz w:val="24"/>
        </w:rPr>
        <w:t xml:space="preserve"> </w:t>
      </w:r>
      <w:r w:rsidR="00D52AE4">
        <w:rPr>
          <w:rFonts w:ascii="Times New Roman" w:hAnsi="Times New Roman"/>
          <w:sz w:val="24"/>
        </w:rPr>
        <w:t xml:space="preserve">However, for a specified level of income the corporate or individual tax rate can be higher because their tax rate schedules are different. </w:t>
      </w:r>
    </w:p>
    <w:p w:rsidR="00775555" w:rsidRDefault="00D52AE4" w:rsidP="0002740E">
      <w:pPr>
        <w:pStyle w:val="Subpartsanswer"/>
        <w:tabs>
          <w:tab w:val="clear" w:pos="1296"/>
          <w:tab w:val="left" w:pos="1440"/>
        </w:tabs>
        <w:spacing w:after="240"/>
        <w:ind w:left="2160" w:hanging="1440"/>
        <w:jc w:val="left"/>
        <w:rPr>
          <w:rFonts w:ascii="Times New Roman" w:hAnsi="Times New Roman"/>
          <w:sz w:val="24"/>
        </w:rPr>
      </w:pPr>
      <w:r>
        <w:rPr>
          <w:rFonts w:ascii="Times New Roman" w:hAnsi="Times New Roman"/>
          <w:sz w:val="24"/>
        </w:rPr>
        <w:lastRenderedPageBreak/>
        <w:tab/>
        <w:t>(</w:t>
      </w:r>
      <w:r w:rsidR="00EB1FE9">
        <w:rPr>
          <w:rFonts w:ascii="Times New Roman" w:hAnsi="Times New Roman"/>
          <w:sz w:val="24"/>
        </w:rPr>
        <w:t>1</w:t>
      </w:r>
      <w:r>
        <w:rPr>
          <w:rFonts w:ascii="Times New Roman" w:hAnsi="Times New Roman"/>
          <w:sz w:val="24"/>
        </w:rPr>
        <w:t>)</w:t>
      </w:r>
      <w:r>
        <w:rPr>
          <w:rFonts w:ascii="Times New Roman" w:hAnsi="Times New Roman"/>
          <w:sz w:val="24"/>
        </w:rPr>
        <w:tab/>
        <w:t xml:space="preserve">Tax rate of dividends should also be considered. </w:t>
      </w:r>
      <w:r w:rsidR="0002740E">
        <w:rPr>
          <w:rFonts w:ascii="Times New Roman" w:hAnsi="Times New Roman"/>
          <w:sz w:val="24"/>
          <w:szCs w:val="24"/>
        </w:rPr>
        <w:t>Beginning in 2013, the effective tax rate on dividend (and net capital gain)  income increases for high-income taxpayers as a result of the 3.8% Medicare surtax on net investment income in excess of modified adjusted gross income of $200,000 ($250,000 if married filing jointly).</w:t>
      </w:r>
    </w:p>
    <w:p w:rsidR="00D52AE4" w:rsidRPr="00D52AE4" w:rsidRDefault="00D52AE4" w:rsidP="002E04A8">
      <w:pPr>
        <w:pStyle w:val="Subpartsanswer"/>
        <w:tabs>
          <w:tab w:val="clear" w:pos="1296"/>
          <w:tab w:val="left" w:pos="1440"/>
        </w:tabs>
        <w:spacing w:after="240"/>
        <w:ind w:left="2160" w:hanging="1440"/>
        <w:jc w:val="left"/>
        <w:rPr>
          <w:rFonts w:ascii="Times New Roman" w:hAnsi="Times New Roman"/>
          <w:sz w:val="24"/>
        </w:rPr>
      </w:pPr>
      <w:r>
        <w:rPr>
          <w:rFonts w:ascii="Times New Roman" w:hAnsi="Times New Roman"/>
          <w:sz w:val="24"/>
        </w:rPr>
        <w:tab/>
        <w:t>(</w:t>
      </w:r>
      <w:r w:rsidR="00EB1FE9">
        <w:rPr>
          <w:rFonts w:ascii="Times New Roman" w:hAnsi="Times New Roman"/>
          <w:sz w:val="24"/>
        </w:rPr>
        <w:t>2</w:t>
      </w:r>
      <w:r>
        <w:rPr>
          <w:rFonts w:ascii="Times New Roman" w:hAnsi="Times New Roman"/>
          <w:sz w:val="24"/>
        </w:rPr>
        <w:t>)</w:t>
      </w:r>
      <w:r>
        <w:rPr>
          <w:rFonts w:ascii="Times New Roman" w:hAnsi="Times New Roman"/>
          <w:sz w:val="24"/>
        </w:rPr>
        <w:tab/>
        <w:t xml:space="preserve">With pass-through entities, items of income, </w:t>
      </w:r>
      <w:r w:rsidR="00073E65">
        <w:rPr>
          <w:rFonts w:ascii="Times New Roman" w:hAnsi="Times New Roman"/>
          <w:sz w:val="24"/>
        </w:rPr>
        <w:t>gains, deductions</w:t>
      </w:r>
      <w:r>
        <w:rPr>
          <w:rFonts w:ascii="Times New Roman" w:hAnsi="Times New Roman"/>
          <w:sz w:val="24"/>
        </w:rPr>
        <w:t xml:space="preserve">, and losses retain their character for the owner. C </w:t>
      </w:r>
      <w:r w:rsidRPr="00D52AE4">
        <w:rPr>
          <w:rFonts w:ascii="Times New Roman" w:hAnsi="Times New Roman"/>
          <w:sz w:val="24"/>
        </w:rPr>
        <w:t>corporation</w:t>
      </w:r>
      <w:r>
        <w:rPr>
          <w:rFonts w:ascii="Times New Roman" w:hAnsi="Times New Roman"/>
          <w:sz w:val="24"/>
        </w:rPr>
        <w:t xml:space="preserve"> </w:t>
      </w:r>
      <w:r w:rsidR="00644068">
        <w:rPr>
          <w:rFonts w:ascii="Times New Roman" w:hAnsi="Times New Roman"/>
          <w:sz w:val="24"/>
        </w:rPr>
        <w:t xml:space="preserve">items </w:t>
      </w:r>
      <w:r>
        <w:rPr>
          <w:rFonts w:ascii="Times New Roman" w:hAnsi="Times New Roman"/>
          <w:sz w:val="24"/>
        </w:rPr>
        <w:t>do not pass through</w:t>
      </w:r>
      <w:r w:rsidR="00644068">
        <w:rPr>
          <w:rFonts w:ascii="Times New Roman" w:hAnsi="Times New Roman"/>
          <w:sz w:val="24"/>
        </w:rPr>
        <w:t>.</w:t>
      </w:r>
    </w:p>
    <w:p w:rsidR="00CA74CF" w:rsidRDefault="00775555" w:rsidP="002E04A8">
      <w:pPr>
        <w:pStyle w:val="Subpartsanswer"/>
        <w:tabs>
          <w:tab w:val="clear" w:pos="1296"/>
          <w:tab w:val="left" w:pos="1440"/>
        </w:tabs>
        <w:ind w:left="1440" w:hanging="720"/>
        <w:jc w:val="left"/>
        <w:rPr>
          <w:rFonts w:ascii="Times New Roman" w:hAnsi="Times New Roman"/>
          <w:sz w:val="24"/>
        </w:rPr>
      </w:pPr>
      <w:r w:rsidRPr="00D52AE4">
        <w:rPr>
          <w:rFonts w:ascii="Times New Roman" w:hAnsi="Times New Roman"/>
          <w:sz w:val="24"/>
        </w:rPr>
        <w:t>b.</w:t>
      </w:r>
      <w:r w:rsidRPr="00D52AE4">
        <w:rPr>
          <w:rFonts w:ascii="Times New Roman" w:hAnsi="Times New Roman"/>
          <w:sz w:val="24"/>
        </w:rPr>
        <w:tab/>
        <w:t xml:space="preserve">Nontax Considerations. </w:t>
      </w:r>
      <w:r w:rsidR="00EB1FE9">
        <w:rPr>
          <w:rFonts w:ascii="Times New Roman" w:hAnsi="Times New Roman"/>
          <w:sz w:val="24"/>
        </w:rPr>
        <w:t>Nontax considerations may override tax considerations.</w:t>
      </w:r>
      <w:r w:rsidR="000D31D6">
        <w:rPr>
          <w:rFonts w:ascii="Times New Roman" w:hAnsi="Times New Roman"/>
          <w:sz w:val="24"/>
        </w:rPr>
        <w:t xml:space="preserve"> Those c</w:t>
      </w:r>
      <w:r w:rsidR="00651552">
        <w:rPr>
          <w:rFonts w:ascii="Times New Roman" w:hAnsi="Times New Roman"/>
          <w:sz w:val="24"/>
        </w:rPr>
        <w:t>o</w:t>
      </w:r>
      <w:r w:rsidRPr="00D52AE4">
        <w:rPr>
          <w:rFonts w:ascii="Times New Roman" w:hAnsi="Times New Roman"/>
          <w:sz w:val="24"/>
        </w:rPr>
        <w:t>nsiderations favor</w:t>
      </w:r>
      <w:r w:rsidR="00581F0B">
        <w:rPr>
          <w:rFonts w:ascii="Times New Roman" w:hAnsi="Times New Roman"/>
          <w:sz w:val="24"/>
        </w:rPr>
        <w:t>ing</w:t>
      </w:r>
      <w:r w:rsidRPr="00D52AE4">
        <w:rPr>
          <w:rFonts w:ascii="Times New Roman" w:hAnsi="Times New Roman"/>
          <w:sz w:val="24"/>
        </w:rPr>
        <w:t xml:space="preserve"> </w:t>
      </w:r>
      <w:r w:rsidR="00581F0B">
        <w:rPr>
          <w:rFonts w:ascii="Times New Roman" w:hAnsi="Times New Roman"/>
          <w:sz w:val="24"/>
        </w:rPr>
        <w:t xml:space="preserve">the </w:t>
      </w:r>
      <w:r w:rsidRPr="00D52AE4">
        <w:rPr>
          <w:rFonts w:ascii="Times New Roman" w:hAnsi="Times New Roman"/>
          <w:sz w:val="24"/>
        </w:rPr>
        <w:t>corporate form include</w:t>
      </w:r>
      <w:r w:rsidR="00581F0B">
        <w:rPr>
          <w:rFonts w:ascii="Times New Roman" w:hAnsi="Times New Roman"/>
          <w:sz w:val="24"/>
        </w:rPr>
        <w:t xml:space="preserve"> the following.</w:t>
      </w:r>
    </w:p>
    <w:p w:rsidR="00906D2B" w:rsidRDefault="00906D2B" w:rsidP="002E04A8">
      <w:pPr>
        <w:pStyle w:val="Subpartsanswer"/>
        <w:tabs>
          <w:tab w:val="clear" w:pos="1296"/>
          <w:tab w:val="left" w:pos="1440"/>
        </w:tabs>
        <w:ind w:left="2160" w:hanging="1440"/>
        <w:jc w:val="left"/>
        <w:rPr>
          <w:rFonts w:ascii="Times New Roman" w:hAnsi="Times New Roman"/>
          <w:sz w:val="24"/>
        </w:rPr>
      </w:pPr>
    </w:p>
    <w:p w:rsidR="00581F0B" w:rsidRDefault="00CA74CF" w:rsidP="002E04A8">
      <w:pPr>
        <w:pStyle w:val="Subpartsanswer"/>
        <w:numPr>
          <w:ilvl w:val="0"/>
          <w:numId w:val="32"/>
        </w:numPr>
        <w:tabs>
          <w:tab w:val="clear" w:pos="1296"/>
          <w:tab w:val="clear" w:pos="2808"/>
          <w:tab w:val="left" w:pos="1440"/>
        </w:tabs>
        <w:ind w:left="2160" w:hanging="720"/>
        <w:jc w:val="left"/>
        <w:rPr>
          <w:rFonts w:ascii="Times New Roman" w:hAnsi="Times New Roman"/>
          <w:sz w:val="24"/>
        </w:rPr>
      </w:pPr>
      <w:r>
        <w:rPr>
          <w:rFonts w:ascii="Times New Roman" w:hAnsi="Times New Roman"/>
          <w:sz w:val="24"/>
        </w:rPr>
        <w:t>L</w:t>
      </w:r>
      <w:r w:rsidR="00775555">
        <w:rPr>
          <w:rFonts w:ascii="Times New Roman" w:hAnsi="Times New Roman"/>
          <w:sz w:val="24"/>
        </w:rPr>
        <w:t>imited liability</w:t>
      </w:r>
      <w:r>
        <w:rPr>
          <w:rFonts w:ascii="Times New Roman" w:hAnsi="Times New Roman"/>
          <w:sz w:val="24"/>
        </w:rPr>
        <w:t>.</w:t>
      </w:r>
    </w:p>
    <w:p w:rsidR="00581F0B" w:rsidRDefault="00581F0B" w:rsidP="002E04A8">
      <w:pPr>
        <w:pStyle w:val="Subpartsanswer"/>
        <w:numPr>
          <w:ilvl w:val="0"/>
          <w:numId w:val="32"/>
        </w:numPr>
        <w:tabs>
          <w:tab w:val="clear" w:pos="1296"/>
          <w:tab w:val="clear" w:pos="2808"/>
          <w:tab w:val="left" w:pos="1440"/>
        </w:tabs>
        <w:ind w:left="2160" w:hanging="720"/>
        <w:jc w:val="left"/>
        <w:rPr>
          <w:rFonts w:ascii="Times New Roman" w:hAnsi="Times New Roman"/>
          <w:sz w:val="24"/>
        </w:rPr>
      </w:pPr>
      <w:r>
        <w:rPr>
          <w:rFonts w:ascii="Times New Roman" w:hAnsi="Times New Roman"/>
          <w:sz w:val="24"/>
        </w:rPr>
        <w:t>A</w:t>
      </w:r>
      <w:r w:rsidR="00775555">
        <w:rPr>
          <w:rFonts w:ascii="Times New Roman" w:hAnsi="Times New Roman"/>
          <w:sz w:val="24"/>
        </w:rPr>
        <w:t>bility to raise large amounts of capital</w:t>
      </w:r>
      <w:r w:rsidR="00CA74CF">
        <w:rPr>
          <w:rFonts w:ascii="Times New Roman" w:hAnsi="Times New Roman"/>
          <w:sz w:val="24"/>
        </w:rPr>
        <w:t>.</w:t>
      </w:r>
    </w:p>
    <w:p w:rsidR="00581F0B" w:rsidRDefault="00CA74CF" w:rsidP="002E04A8">
      <w:pPr>
        <w:pStyle w:val="Subpartsanswer"/>
        <w:numPr>
          <w:ilvl w:val="0"/>
          <w:numId w:val="32"/>
        </w:numPr>
        <w:tabs>
          <w:tab w:val="clear" w:pos="1296"/>
          <w:tab w:val="clear" w:pos="2808"/>
          <w:tab w:val="left" w:pos="1440"/>
        </w:tabs>
        <w:ind w:left="2160" w:hanging="720"/>
        <w:jc w:val="left"/>
        <w:rPr>
          <w:rFonts w:ascii="Times New Roman" w:hAnsi="Times New Roman"/>
          <w:sz w:val="24"/>
        </w:rPr>
      </w:pPr>
      <w:r>
        <w:rPr>
          <w:rFonts w:ascii="Times New Roman" w:hAnsi="Times New Roman"/>
          <w:sz w:val="24"/>
        </w:rPr>
        <w:t>C</w:t>
      </w:r>
      <w:r w:rsidR="00651552">
        <w:rPr>
          <w:rFonts w:ascii="Times New Roman" w:hAnsi="Times New Roman"/>
          <w:sz w:val="24"/>
        </w:rPr>
        <w:t>ontinuity of life for the entity</w:t>
      </w:r>
      <w:r>
        <w:rPr>
          <w:rFonts w:ascii="Times New Roman" w:hAnsi="Times New Roman"/>
          <w:sz w:val="24"/>
        </w:rPr>
        <w:t>.</w:t>
      </w:r>
    </w:p>
    <w:p w:rsidR="00581F0B" w:rsidRDefault="00CA74CF" w:rsidP="002E04A8">
      <w:pPr>
        <w:pStyle w:val="Subpartsanswer"/>
        <w:numPr>
          <w:ilvl w:val="0"/>
          <w:numId w:val="32"/>
        </w:numPr>
        <w:tabs>
          <w:tab w:val="clear" w:pos="1296"/>
          <w:tab w:val="clear" w:pos="2808"/>
          <w:tab w:val="left" w:pos="1440"/>
        </w:tabs>
        <w:ind w:left="2160" w:hanging="720"/>
        <w:jc w:val="left"/>
        <w:rPr>
          <w:rFonts w:ascii="Times New Roman" w:hAnsi="Times New Roman"/>
          <w:sz w:val="24"/>
        </w:rPr>
      </w:pPr>
      <w:r>
        <w:rPr>
          <w:rFonts w:ascii="Times New Roman" w:hAnsi="Times New Roman"/>
          <w:sz w:val="24"/>
        </w:rPr>
        <w:t>F</w:t>
      </w:r>
      <w:r w:rsidR="00651552">
        <w:rPr>
          <w:rFonts w:ascii="Times New Roman" w:hAnsi="Times New Roman"/>
          <w:sz w:val="24"/>
        </w:rPr>
        <w:t>ree transferability of ownership interests</w:t>
      </w:r>
      <w:r w:rsidR="004D504D">
        <w:rPr>
          <w:rFonts w:ascii="Times New Roman" w:hAnsi="Times New Roman"/>
          <w:sz w:val="24"/>
        </w:rPr>
        <w:t>.</w:t>
      </w:r>
    </w:p>
    <w:p w:rsidR="00775555" w:rsidRDefault="00CA74CF" w:rsidP="002E04A8">
      <w:pPr>
        <w:pStyle w:val="Subpartsanswer"/>
        <w:numPr>
          <w:ilvl w:val="0"/>
          <w:numId w:val="32"/>
        </w:numPr>
        <w:tabs>
          <w:tab w:val="clear" w:pos="1296"/>
          <w:tab w:val="clear" w:pos="2808"/>
          <w:tab w:val="left" w:pos="1440"/>
        </w:tabs>
        <w:ind w:left="2160" w:hanging="720"/>
        <w:jc w:val="left"/>
        <w:rPr>
          <w:rFonts w:ascii="Times New Roman" w:hAnsi="Times New Roman"/>
          <w:sz w:val="24"/>
        </w:rPr>
      </w:pPr>
      <w:r>
        <w:rPr>
          <w:rFonts w:ascii="Times New Roman" w:hAnsi="Times New Roman"/>
          <w:sz w:val="24"/>
        </w:rPr>
        <w:t>C</w:t>
      </w:r>
      <w:r w:rsidR="00651552">
        <w:rPr>
          <w:rFonts w:ascii="Times New Roman" w:hAnsi="Times New Roman"/>
          <w:sz w:val="24"/>
        </w:rPr>
        <w:t>entralized management</w:t>
      </w:r>
      <w:r w:rsidR="00775555">
        <w:rPr>
          <w:rFonts w:ascii="Times New Roman" w:hAnsi="Times New Roman"/>
          <w:sz w:val="24"/>
        </w:rPr>
        <w:t>.</w:t>
      </w:r>
    </w:p>
    <w:p w:rsidR="00073E65" w:rsidRDefault="00073E65" w:rsidP="00073E65">
      <w:pPr>
        <w:pStyle w:val="Subpartsanswer"/>
        <w:tabs>
          <w:tab w:val="clear" w:pos="1296"/>
          <w:tab w:val="left" w:pos="1440"/>
        </w:tabs>
        <w:ind w:left="2160" w:firstLine="0"/>
        <w:jc w:val="left"/>
        <w:rPr>
          <w:rFonts w:ascii="Times New Roman" w:hAnsi="Times New Roman"/>
          <w:sz w:val="24"/>
        </w:rPr>
      </w:pPr>
    </w:p>
    <w:p w:rsidR="00073E65" w:rsidRDefault="00073E65" w:rsidP="00073E65">
      <w:pPr>
        <w:pStyle w:val="mainanswerparagraph"/>
        <w:tabs>
          <w:tab w:val="clear" w:pos="720"/>
        </w:tabs>
        <w:ind w:left="1440"/>
        <w:jc w:val="left"/>
        <w:rPr>
          <w:rFonts w:ascii="Times New Roman" w:hAnsi="Times New Roman"/>
          <w:sz w:val="24"/>
        </w:rPr>
      </w:pPr>
      <w:r>
        <w:rPr>
          <w:rFonts w:ascii="Times New Roman" w:hAnsi="Times New Roman"/>
          <w:sz w:val="24"/>
        </w:rPr>
        <w:t>c.</w:t>
      </w:r>
      <w:r>
        <w:rPr>
          <w:rFonts w:ascii="Times New Roman" w:hAnsi="Times New Roman"/>
          <w:sz w:val="24"/>
        </w:rPr>
        <w:tab/>
        <w:t>The majority of businesses in the U.S. are small pass</w:t>
      </w:r>
      <w:r w:rsidR="001F0E83">
        <w:rPr>
          <w:rFonts w:ascii="Times New Roman" w:hAnsi="Times New Roman"/>
          <w:sz w:val="24"/>
        </w:rPr>
        <w:t>-</w:t>
      </w:r>
      <w:r>
        <w:rPr>
          <w:rFonts w:ascii="Times New Roman" w:hAnsi="Times New Roman"/>
          <w:sz w:val="24"/>
        </w:rPr>
        <w:t>through entities. For a recent Congressional Research Service analysis of IRS data on U.S. business tax reporting, see CRS Report R40748 (</w:t>
      </w:r>
      <w:r w:rsidR="001F0E83">
        <w:rPr>
          <w:rFonts w:ascii="Times New Roman" w:hAnsi="Times New Roman"/>
          <w:sz w:val="24"/>
        </w:rPr>
        <w:t>April 26, 2012</w:t>
      </w:r>
      <w:r>
        <w:rPr>
          <w:rFonts w:ascii="Times New Roman" w:hAnsi="Times New Roman"/>
          <w:sz w:val="24"/>
        </w:rPr>
        <w:t>).</w:t>
      </w:r>
    </w:p>
    <w:p w:rsidR="00073E65" w:rsidRDefault="00073E65" w:rsidP="00073E65">
      <w:pPr>
        <w:pStyle w:val="mainanswerparagraph"/>
        <w:tabs>
          <w:tab w:val="clear" w:pos="720"/>
        </w:tabs>
        <w:ind w:firstLine="0"/>
        <w:jc w:val="left"/>
        <w:rPr>
          <w:rFonts w:ascii="Times New Roman" w:hAnsi="Times New Roman"/>
          <w:sz w:val="24"/>
        </w:rPr>
      </w:pPr>
    </w:p>
    <w:p w:rsidR="00775555" w:rsidRDefault="00775555" w:rsidP="002E04A8">
      <w:pPr>
        <w:spacing w:line="240" w:lineRule="exact"/>
        <w:rPr>
          <w:b/>
        </w:rPr>
      </w:pPr>
    </w:p>
    <w:p w:rsidR="00F81151" w:rsidRPr="00142348" w:rsidRDefault="00F81151" w:rsidP="002E04A8">
      <w:pPr>
        <w:spacing w:line="240" w:lineRule="exact"/>
        <w:rPr>
          <w:b/>
        </w:rPr>
      </w:pPr>
      <w:r w:rsidRPr="00142348">
        <w:rPr>
          <w:b/>
        </w:rPr>
        <w:t>Limited Liability Companies</w:t>
      </w:r>
    </w:p>
    <w:p w:rsidR="00142348" w:rsidRDefault="00142348" w:rsidP="002E04A8">
      <w:pPr>
        <w:spacing w:line="240" w:lineRule="exact"/>
      </w:pPr>
    </w:p>
    <w:p w:rsidR="0014116C" w:rsidRDefault="00536955" w:rsidP="002E04A8">
      <w:pPr>
        <w:spacing w:line="240" w:lineRule="exact"/>
        <w:ind w:left="720" w:hanging="720"/>
      </w:pPr>
      <w:r>
        <w:t xml:space="preserve"> </w:t>
      </w:r>
      <w:proofErr w:type="gramStart"/>
      <w:r w:rsidR="0014116C" w:rsidRPr="00142348">
        <w:t>9.</w:t>
      </w:r>
      <w:r w:rsidR="0014116C">
        <w:tab/>
      </w:r>
      <w:r w:rsidR="00DE5C1C">
        <w:t>L</w:t>
      </w:r>
      <w:r w:rsidR="0014116C">
        <w:t>imited liability company (LLC)</w:t>
      </w:r>
      <w:proofErr w:type="gramEnd"/>
      <w:r w:rsidR="0014116C">
        <w:t xml:space="preserve"> offers a very important nontax advantage (limited liability) plus the tax advantage of being treated as a partnership </w:t>
      </w:r>
      <w:r w:rsidR="00073E65">
        <w:t xml:space="preserve">(or proprietorship, in the case of a single-member LLC) </w:t>
      </w:r>
      <w:r w:rsidR="0014116C">
        <w:t>and avoiding the double taxation problem associated with C corporations.</w:t>
      </w:r>
    </w:p>
    <w:p w:rsidR="00651552" w:rsidRDefault="00651552" w:rsidP="002E04A8">
      <w:pPr>
        <w:spacing w:line="240" w:lineRule="exact"/>
        <w:ind w:left="720" w:hanging="720"/>
      </w:pPr>
    </w:p>
    <w:p w:rsidR="004A3689" w:rsidRDefault="0014116C" w:rsidP="002E04A8">
      <w:pPr>
        <w:pStyle w:val="subquestionpara"/>
        <w:tabs>
          <w:tab w:val="clear" w:pos="1152"/>
        </w:tabs>
        <w:spacing w:after="240"/>
        <w:ind w:left="1440" w:hanging="720"/>
        <w:rPr>
          <w:rFonts w:ascii="Times New Roman" w:hAnsi="Times New Roman"/>
          <w:sz w:val="24"/>
        </w:rPr>
      </w:pPr>
      <w:r>
        <w:rPr>
          <w:rFonts w:ascii="Times New Roman" w:hAnsi="Times New Roman"/>
          <w:sz w:val="24"/>
        </w:rPr>
        <w:t>a.</w:t>
      </w:r>
      <w:r>
        <w:rPr>
          <w:rFonts w:ascii="Times New Roman" w:hAnsi="Times New Roman"/>
          <w:sz w:val="24"/>
        </w:rPr>
        <w:tab/>
      </w:r>
      <w:r w:rsidR="004A3689">
        <w:rPr>
          <w:rFonts w:ascii="Times New Roman" w:hAnsi="Times New Roman"/>
          <w:sz w:val="24"/>
        </w:rPr>
        <w:t xml:space="preserve">All 50 states and the </w:t>
      </w:r>
      <w:smartTag w:uri="urn:schemas-microsoft-com:office:smarttags" w:element="place">
        <w:smartTag w:uri="urn:schemas-microsoft-com:office:smarttags" w:element="State">
          <w:r w:rsidR="004A3689">
            <w:rPr>
              <w:rFonts w:ascii="Times New Roman" w:hAnsi="Times New Roman"/>
              <w:sz w:val="24"/>
            </w:rPr>
            <w:t>District of Columbia</w:t>
          </w:r>
        </w:smartTag>
      </w:smartTag>
      <w:r w:rsidR="004A3689">
        <w:rPr>
          <w:rFonts w:ascii="Times New Roman" w:hAnsi="Times New Roman"/>
          <w:sz w:val="24"/>
        </w:rPr>
        <w:t xml:space="preserve"> recognize LLCs.</w:t>
      </w:r>
    </w:p>
    <w:p w:rsidR="00F33267" w:rsidRPr="00F33267" w:rsidRDefault="00F33267" w:rsidP="002E04A8">
      <w:pPr>
        <w:spacing w:line="240" w:lineRule="exact"/>
      </w:pPr>
      <w:r>
        <w:tab/>
      </w:r>
      <w:r w:rsidR="001A0D0E">
        <w:t>b</w:t>
      </w:r>
      <w:r w:rsidR="0014116C">
        <w:t>.</w:t>
      </w:r>
      <w:r w:rsidR="0014116C">
        <w:tab/>
      </w:r>
      <w:r w:rsidR="008809DD" w:rsidRPr="00F33267">
        <w:t>States vary in the corporate characteristics allowed to LLCs</w:t>
      </w:r>
      <w:r w:rsidR="0014116C" w:rsidRPr="00F33267">
        <w:t>.</w:t>
      </w:r>
    </w:p>
    <w:p w:rsidR="00F33267" w:rsidRDefault="00F33267" w:rsidP="002E04A8">
      <w:pPr>
        <w:spacing w:line="240" w:lineRule="exact"/>
      </w:pPr>
    </w:p>
    <w:p w:rsidR="00F81151" w:rsidRDefault="00F33267" w:rsidP="002E04A8">
      <w:pPr>
        <w:spacing w:line="240" w:lineRule="exact"/>
        <w:rPr>
          <w:b/>
        </w:rPr>
      </w:pPr>
      <w:r w:rsidRPr="00F33267">
        <w:rPr>
          <w:b/>
        </w:rPr>
        <w:t>Entity Classification</w:t>
      </w:r>
    </w:p>
    <w:p w:rsidR="001A0D0E" w:rsidRDefault="001A0D0E" w:rsidP="002E04A8">
      <w:pPr>
        <w:spacing w:line="240" w:lineRule="exact"/>
        <w:rPr>
          <w:b/>
        </w:rPr>
      </w:pPr>
    </w:p>
    <w:p w:rsidR="001A0D0E" w:rsidRDefault="001A0D0E" w:rsidP="002E04A8">
      <w:pPr>
        <w:spacing w:line="240" w:lineRule="exact"/>
      </w:pPr>
      <w:r w:rsidRPr="001A0D0E">
        <w:t>10.</w:t>
      </w:r>
      <w:r w:rsidRPr="001A0D0E">
        <w:tab/>
      </w:r>
      <w:r w:rsidR="00DE5C1C">
        <w:t>C</w:t>
      </w:r>
      <w:r w:rsidR="00460C7D">
        <w:t xml:space="preserve">lassification of an entity was left to the taxpayer when the “check-the-box” </w:t>
      </w:r>
      <w:r w:rsidR="006411F8">
        <w:tab/>
        <w:t>R</w:t>
      </w:r>
      <w:r w:rsidR="00460C7D">
        <w:t>egulations</w:t>
      </w:r>
      <w:r w:rsidR="006411F8">
        <w:t xml:space="preserve"> were pr</w:t>
      </w:r>
      <w:r w:rsidR="00651552">
        <w:t>omulgated</w:t>
      </w:r>
      <w:r w:rsidR="006411F8">
        <w:t>.</w:t>
      </w:r>
    </w:p>
    <w:p w:rsidR="001A0D0E" w:rsidRPr="001A0D0E" w:rsidRDefault="001A0D0E" w:rsidP="002E04A8">
      <w:pPr>
        <w:spacing w:line="240" w:lineRule="exact"/>
      </w:pPr>
      <w:r>
        <w:tab/>
      </w:r>
    </w:p>
    <w:p w:rsidR="00293D4F" w:rsidRDefault="006411F8" w:rsidP="002E04A8">
      <w:pPr>
        <w:pStyle w:val="mainanswerparagraph"/>
        <w:tabs>
          <w:tab w:val="clear" w:pos="720"/>
        </w:tabs>
        <w:ind w:left="1440"/>
        <w:jc w:val="left"/>
        <w:rPr>
          <w:rFonts w:ascii="Times New Roman" w:hAnsi="Times New Roman"/>
          <w:sz w:val="24"/>
        </w:rPr>
      </w:pPr>
      <w:r>
        <w:rPr>
          <w:rFonts w:ascii="Times New Roman" w:hAnsi="Times New Roman"/>
          <w:sz w:val="24"/>
        </w:rPr>
        <w:t>a</w:t>
      </w:r>
      <w:r w:rsidR="001A0D0E" w:rsidRPr="001A0D0E">
        <w:rPr>
          <w:rFonts w:ascii="Times New Roman" w:hAnsi="Times New Roman"/>
          <w:sz w:val="24"/>
        </w:rPr>
        <w:t>.</w:t>
      </w:r>
      <w:r w:rsidR="001A0D0E" w:rsidRPr="001A0D0E">
        <w:rPr>
          <w:rFonts w:ascii="Times New Roman" w:hAnsi="Times New Roman"/>
          <w:sz w:val="24"/>
        </w:rPr>
        <w:tab/>
        <w:t>Under</w:t>
      </w:r>
      <w:r w:rsidR="001A0D0E">
        <w:rPr>
          <w:rFonts w:ascii="Times New Roman" w:hAnsi="Times New Roman"/>
          <w:sz w:val="24"/>
        </w:rPr>
        <w:t xml:space="preserve"> the</w:t>
      </w:r>
      <w:r>
        <w:rPr>
          <w:rFonts w:ascii="Times New Roman" w:hAnsi="Times New Roman"/>
          <w:sz w:val="24"/>
        </w:rPr>
        <w:t xml:space="preserve">se </w:t>
      </w:r>
      <w:r w:rsidR="001A0D0E">
        <w:rPr>
          <w:rFonts w:ascii="Times New Roman" w:hAnsi="Times New Roman"/>
          <w:sz w:val="24"/>
        </w:rPr>
        <w:t xml:space="preserve">regulations, </w:t>
      </w:r>
      <w:r>
        <w:rPr>
          <w:rFonts w:ascii="Times New Roman" w:hAnsi="Times New Roman"/>
          <w:sz w:val="24"/>
        </w:rPr>
        <w:t xml:space="preserve">entities with </w:t>
      </w:r>
      <w:r w:rsidR="001A0D0E">
        <w:rPr>
          <w:rFonts w:ascii="Times New Roman" w:hAnsi="Times New Roman"/>
          <w:sz w:val="24"/>
        </w:rPr>
        <w:t xml:space="preserve">two or more </w:t>
      </w:r>
      <w:r w:rsidR="00293D4F">
        <w:rPr>
          <w:rFonts w:ascii="Times New Roman" w:hAnsi="Times New Roman"/>
          <w:sz w:val="24"/>
        </w:rPr>
        <w:t xml:space="preserve">owners can elect to be </w:t>
      </w:r>
      <w:r w:rsidR="001A0D0E">
        <w:rPr>
          <w:rFonts w:ascii="Times New Roman" w:hAnsi="Times New Roman"/>
          <w:sz w:val="24"/>
        </w:rPr>
        <w:t xml:space="preserve">treated as a partnership </w:t>
      </w:r>
      <w:r w:rsidR="00293D4F">
        <w:rPr>
          <w:rFonts w:ascii="Times New Roman" w:hAnsi="Times New Roman"/>
          <w:sz w:val="24"/>
        </w:rPr>
        <w:t>or a corporation. Entities with one owner can</w:t>
      </w:r>
      <w:r w:rsidR="00717756">
        <w:rPr>
          <w:rFonts w:ascii="Times New Roman" w:hAnsi="Times New Roman"/>
          <w:sz w:val="24"/>
        </w:rPr>
        <w:t xml:space="preserve"> elect to</w:t>
      </w:r>
      <w:r w:rsidR="00293D4F">
        <w:rPr>
          <w:rFonts w:ascii="Times New Roman" w:hAnsi="Times New Roman"/>
          <w:sz w:val="24"/>
        </w:rPr>
        <w:t xml:space="preserve"> be taxe</w:t>
      </w:r>
      <w:r w:rsidR="004D504D">
        <w:rPr>
          <w:rFonts w:ascii="Times New Roman" w:hAnsi="Times New Roman"/>
          <w:sz w:val="24"/>
        </w:rPr>
        <w:t>d</w:t>
      </w:r>
      <w:r w:rsidR="00293D4F">
        <w:rPr>
          <w:rFonts w:ascii="Times New Roman" w:hAnsi="Times New Roman"/>
          <w:sz w:val="24"/>
        </w:rPr>
        <w:t xml:space="preserve"> as either a sole proprietorship or a corporation.</w:t>
      </w:r>
      <w:r w:rsidR="007A50C7">
        <w:rPr>
          <w:rFonts w:ascii="Times New Roman" w:hAnsi="Times New Roman"/>
          <w:sz w:val="24"/>
        </w:rPr>
        <w:t xml:space="preserve"> Election is made on Form 8832, Entity Classification Election.</w:t>
      </w:r>
      <w:r w:rsidR="00C8197C">
        <w:rPr>
          <w:rFonts w:ascii="Times New Roman" w:hAnsi="Times New Roman"/>
          <w:sz w:val="24"/>
        </w:rPr>
        <w:t xml:space="preserve"> See Rev.</w:t>
      </w:r>
      <w:r w:rsidR="0012524A">
        <w:rPr>
          <w:rFonts w:ascii="Times New Roman" w:hAnsi="Times New Roman"/>
          <w:sz w:val="24"/>
        </w:rPr>
        <w:t xml:space="preserve"> </w:t>
      </w:r>
      <w:r w:rsidR="00C8197C">
        <w:rPr>
          <w:rFonts w:ascii="Times New Roman" w:hAnsi="Times New Roman"/>
          <w:sz w:val="24"/>
        </w:rPr>
        <w:t xml:space="preserve">Proc. 2009-41, </w:t>
      </w:r>
      <w:r w:rsidR="00073E65">
        <w:rPr>
          <w:rFonts w:ascii="Times New Roman" w:hAnsi="Times New Roman"/>
          <w:sz w:val="24"/>
        </w:rPr>
        <w:t>2009-2 CB 439</w:t>
      </w:r>
      <w:r w:rsidR="006814FD">
        <w:rPr>
          <w:rFonts w:ascii="Times New Roman" w:hAnsi="Times New Roman"/>
          <w:sz w:val="24"/>
        </w:rPr>
        <w:t xml:space="preserve"> for guidance on filing late Form 8832.</w:t>
      </w:r>
      <w:r w:rsidR="00073E65">
        <w:rPr>
          <w:rFonts w:ascii="Times New Roman" w:hAnsi="Times New Roman"/>
          <w:sz w:val="24"/>
        </w:rPr>
        <w:t xml:space="preserve">  For a late Form 8832 by a foreign entity, see Rev. Proc. 2010-32, 2010-</w:t>
      </w:r>
      <w:r w:rsidR="00C81D0F">
        <w:rPr>
          <w:rFonts w:ascii="Times New Roman" w:hAnsi="Times New Roman"/>
          <w:sz w:val="24"/>
        </w:rPr>
        <w:t>2 CB 320</w:t>
      </w:r>
      <w:r w:rsidR="00073E65">
        <w:rPr>
          <w:rFonts w:ascii="Times New Roman" w:hAnsi="Times New Roman"/>
          <w:sz w:val="24"/>
        </w:rPr>
        <w:t>.</w:t>
      </w:r>
    </w:p>
    <w:p w:rsidR="00906D2B" w:rsidRDefault="00906D2B" w:rsidP="002E04A8">
      <w:pPr>
        <w:pStyle w:val="mainanswerparagraph"/>
        <w:tabs>
          <w:tab w:val="clear" w:pos="720"/>
        </w:tabs>
        <w:ind w:left="1440"/>
        <w:jc w:val="left"/>
        <w:rPr>
          <w:rFonts w:ascii="Times New Roman" w:hAnsi="Times New Roman"/>
          <w:sz w:val="24"/>
        </w:rPr>
      </w:pPr>
    </w:p>
    <w:p w:rsidR="00F33267" w:rsidRDefault="00293D4F" w:rsidP="002E04A8">
      <w:pPr>
        <w:pStyle w:val="mainanswerparagraph"/>
        <w:tabs>
          <w:tab w:val="clear" w:pos="720"/>
        </w:tabs>
        <w:ind w:left="1440"/>
        <w:jc w:val="left"/>
        <w:rPr>
          <w:rFonts w:ascii="Times New Roman" w:hAnsi="Times New Roman"/>
          <w:sz w:val="24"/>
        </w:rPr>
      </w:pPr>
      <w:r>
        <w:rPr>
          <w:rFonts w:ascii="Times New Roman" w:hAnsi="Times New Roman"/>
          <w:sz w:val="24"/>
        </w:rPr>
        <w:t>b.</w:t>
      </w:r>
      <w:r>
        <w:rPr>
          <w:rFonts w:ascii="Times New Roman" w:hAnsi="Times New Roman"/>
          <w:sz w:val="24"/>
        </w:rPr>
        <w:tab/>
      </w:r>
      <w:r w:rsidR="00073E65">
        <w:rPr>
          <w:rFonts w:ascii="Times New Roman" w:hAnsi="Times New Roman"/>
          <w:sz w:val="24"/>
        </w:rPr>
        <w:t>Under the default rules, i</w:t>
      </w:r>
      <w:r>
        <w:rPr>
          <w:rFonts w:ascii="Times New Roman" w:hAnsi="Times New Roman"/>
          <w:sz w:val="24"/>
        </w:rPr>
        <w:t>f no election is made</w:t>
      </w:r>
      <w:r w:rsidR="00717756">
        <w:rPr>
          <w:rFonts w:ascii="Times New Roman" w:hAnsi="Times New Roman"/>
          <w:sz w:val="24"/>
        </w:rPr>
        <w:t>,</w:t>
      </w:r>
      <w:r>
        <w:rPr>
          <w:rFonts w:ascii="Times New Roman" w:hAnsi="Times New Roman"/>
          <w:sz w:val="24"/>
        </w:rPr>
        <w:t xml:space="preserve"> </w:t>
      </w:r>
      <w:r w:rsidR="00C312DB">
        <w:rPr>
          <w:rFonts w:ascii="Times New Roman" w:hAnsi="Times New Roman"/>
          <w:sz w:val="24"/>
        </w:rPr>
        <w:t>multi-owner entities are treated as partnerships and single</w:t>
      </w:r>
      <w:r w:rsidR="00472971">
        <w:rPr>
          <w:rFonts w:ascii="Times New Roman" w:hAnsi="Times New Roman"/>
          <w:sz w:val="24"/>
        </w:rPr>
        <w:t>-</w:t>
      </w:r>
      <w:r w:rsidR="00C312DB">
        <w:rPr>
          <w:rFonts w:ascii="Times New Roman" w:hAnsi="Times New Roman"/>
          <w:sz w:val="24"/>
        </w:rPr>
        <w:t>owner</w:t>
      </w:r>
      <w:r w:rsidR="00472971">
        <w:rPr>
          <w:rFonts w:ascii="Times New Roman" w:hAnsi="Times New Roman"/>
          <w:sz w:val="24"/>
        </w:rPr>
        <w:t xml:space="preserve"> entities</w:t>
      </w:r>
      <w:r w:rsidR="00C312DB">
        <w:rPr>
          <w:rFonts w:ascii="Times New Roman" w:hAnsi="Times New Roman"/>
          <w:sz w:val="24"/>
        </w:rPr>
        <w:t xml:space="preserve"> are sole proprietorships.</w:t>
      </w:r>
      <w:r w:rsidR="00073E65">
        <w:rPr>
          <w:rFonts w:ascii="Times New Roman" w:hAnsi="Times New Roman"/>
          <w:sz w:val="24"/>
        </w:rPr>
        <w:t xml:space="preserve"> New entities using a default classification should not file Form 8332.</w:t>
      </w:r>
    </w:p>
    <w:p w:rsidR="00C312DB" w:rsidRDefault="00C312DB" w:rsidP="002E04A8">
      <w:pPr>
        <w:pStyle w:val="mainanswerparagraph"/>
        <w:tabs>
          <w:tab w:val="clear" w:pos="720"/>
        </w:tabs>
        <w:ind w:left="1440"/>
        <w:jc w:val="left"/>
        <w:rPr>
          <w:rFonts w:ascii="Times New Roman" w:hAnsi="Times New Roman"/>
          <w:sz w:val="24"/>
        </w:rPr>
      </w:pPr>
    </w:p>
    <w:p w:rsidR="001600E2" w:rsidRDefault="00C312DB" w:rsidP="002E04A8">
      <w:pPr>
        <w:pStyle w:val="mainanswerparagraph"/>
        <w:tabs>
          <w:tab w:val="clear" w:pos="720"/>
        </w:tabs>
        <w:ind w:left="1440"/>
        <w:jc w:val="left"/>
        <w:rPr>
          <w:rFonts w:ascii="Times New Roman" w:hAnsi="Times New Roman"/>
          <w:sz w:val="24"/>
        </w:rPr>
      </w:pPr>
      <w:r>
        <w:rPr>
          <w:rFonts w:ascii="Times New Roman" w:hAnsi="Times New Roman"/>
          <w:sz w:val="24"/>
        </w:rPr>
        <w:t>c.</w:t>
      </w:r>
      <w:r>
        <w:rPr>
          <w:rFonts w:ascii="Times New Roman" w:hAnsi="Times New Roman"/>
          <w:sz w:val="24"/>
        </w:rPr>
        <w:tab/>
        <w:t xml:space="preserve">The </w:t>
      </w:r>
      <w:r w:rsidR="007A50C7">
        <w:rPr>
          <w:rFonts w:ascii="Times New Roman" w:hAnsi="Times New Roman"/>
          <w:sz w:val="24"/>
        </w:rPr>
        <w:t xml:space="preserve">“check-the-box” </w:t>
      </w:r>
      <w:r>
        <w:rPr>
          <w:rFonts w:ascii="Times New Roman" w:hAnsi="Times New Roman"/>
          <w:sz w:val="24"/>
        </w:rPr>
        <w:t xml:space="preserve">election is not available to </w:t>
      </w:r>
      <w:r w:rsidR="008546D0">
        <w:rPr>
          <w:rFonts w:ascii="Times New Roman" w:hAnsi="Times New Roman"/>
          <w:sz w:val="24"/>
        </w:rPr>
        <w:t xml:space="preserve">entities </w:t>
      </w:r>
      <w:r>
        <w:rPr>
          <w:rFonts w:ascii="Times New Roman" w:hAnsi="Times New Roman"/>
          <w:sz w:val="24"/>
        </w:rPr>
        <w:t>in</w:t>
      </w:r>
      <w:r w:rsidRPr="00C312DB">
        <w:rPr>
          <w:rFonts w:ascii="Times New Roman" w:hAnsi="Times New Roman"/>
          <w:sz w:val="24"/>
        </w:rPr>
        <w:t>corporat</w:t>
      </w:r>
      <w:r>
        <w:rPr>
          <w:rFonts w:ascii="Times New Roman" w:hAnsi="Times New Roman"/>
          <w:sz w:val="24"/>
        </w:rPr>
        <w:t xml:space="preserve">ed </w:t>
      </w:r>
      <w:r w:rsidR="008546D0">
        <w:rPr>
          <w:rFonts w:ascii="Times New Roman" w:hAnsi="Times New Roman"/>
          <w:sz w:val="24"/>
        </w:rPr>
        <w:t xml:space="preserve">under state law or </w:t>
      </w:r>
      <w:r>
        <w:rPr>
          <w:rFonts w:ascii="Times New Roman" w:hAnsi="Times New Roman"/>
          <w:sz w:val="24"/>
        </w:rPr>
        <w:t xml:space="preserve">are required to be </w:t>
      </w:r>
      <w:r w:rsidR="00F54AEF">
        <w:rPr>
          <w:rFonts w:ascii="Times New Roman" w:hAnsi="Times New Roman"/>
          <w:sz w:val="24"/>
        </w:rPr>
        <w:t xml:space="preserve">treated as </w:t>
      </w:r>
      <w:r w:rsidRPr="00C312DB">
        <w:rPr>
          <w:rFonts w:ascii="Times New Roman" w:hAnsi="Times New Roman"/>
          <w:sz w:val="24"/>
        </w:rPr>
        <w:t>corporation</w:t>
      </w:r>
      <w:r>
        <w:rPr>
          <w:rFonts w:ascii="Times New Roman" w:hAnsi="Times New Roman"/>
          <w:sz w:val="24"/>
        </w:rPr>
        <w:t>s under Federal law</w:t>
      </w:r>
      <w:r w:rsidR="00F54AEF">
        <w:rPr>
          <w:rFonts w:ascii="Times New Roman" w:hAnsi="Times New Roman"/>
          <w:sz w:val="24"/>
        </w:rPr>
        <w:t xml:space="preserve"> (i.e., publicly traded partnerships)</w:t>
      </w:r>
      <w:r>
        <w:rPr>
          <w:rFonts w:ascii="Times New Roman" w:hAnsi="Times New Roman"/>
          <w:sz w:val="24"/>
        </w:rPr>
        <w:t>.</w:t>
      </w:r>
    </w:p>
    <w:p w:rsidR="00465EFC" w:rsidRDefault="00465EFC" w:rsidP="002E04A8">
      <w:pPr>
        <w:pStyle w:val="mainanswerparagraph"/>
        <w:tabs>
          <w:tab w:val="clear" w:pos="720"/>
        </w:tabs>
        <w:ind w:left="1440"/>
        <w:jc w:val="left"/>
        <w:rPr>
          <w:rFonts w:ascii="Times New Roman" w:hAnsi="Times New Roman"/>
          <w:sz w:val="24"/>
        </w:rPr>
      </w:pPr>
    </w:p>
    <w:p w:rsidR="00465EFC" w:rsidRDefault="00465EFC" w:rsidP="00465EFC">
      <w:pPr>
        <w:ind w:left="1440" w:hanging="720"/>
      </w:pPr>
      <w:r>
        <w:t>d.</w:t>
      </w:r>
      <w:r>
        <w:tab/>
        <w:t xml:space="preserve">An LLC that elects to be treated as a corporation under the check-the-box </w:t>
      </w:r>
      <w:r w:rsidR="001F0E83">
        <w:t>R</w:t>
      </w:r>
      <w:r>
        <w:t>egulations may elect Subchapter S status.  See, e.g., LTR 201140014 [late Form 8832 (Entity Classification Election) and late Form 2553 (Election by a Small Business Corporation) by LLC treated as timely filed].</w:t>
      </w:r>
    </w:p>
    <w:p w:rsidR="001F0E83" w:rsidRDefault="001F0E83" w:rsidP="00465EFC">
      <w:pPr>
        <w:ind w:left="1440" w:hanging="720"/>
      </w:pPr>
    </w:p>
    <w:p w:rsidR="00465EFC" w:rsidRDefault="00465EFC" w:rsidP="001F0E83">
      <w:pPr>
        <w:tabs>
          <w:tab w:val="left" w:pos="1440"/>
        </w:tabs>
        <w:ind w:left="1440" w:hanging="720"/>
      </w:pPr>
      <w:r>
        <w:t>e.</w:t>
      </w:r>
      <w:r>
        <w:tab/>
        <w:t xml:space="preserve">Recently, there has been a lot of litigation regarding the liability for unpaid employment taxes of single-member LLCs (default sole proprietorships).  The issue addressed by the courts generally is whether the single-member (sole proprietor) or the LLC is liable for unpaid employment taxes of the LLC.  Invariably the sole proprietor is found to be liable for the unpaid employment taxes.  </w:t>
      </w:r>
      <w:proofErr w:type="gramStart"/>
      <w:r>
        <w:t xml:space="preserve">[See, e.g., </w:t>
      </w:r>
      <w:proofErr w:type="spellStart"/>
      <w:r w:rsidRPr="005E5F74">
        <w:rPr>
          <w:i/>
        </w:rPr>
        <w:t>Comensoli</w:t>
      </w:r>
      <w:proofErr w:type="spellEnd"/>
      <w:r w:rsidRPr="005E5F74">
        <w:rPr>
          <w:i/>
        </w:rPr>
        <w:t xml:space="preserve"> v. Comm.</w:t>
      </w:r>
      <w:r>
        <w:t>, 2011–1 USTC ¶50,368, 107 AFTR 2d 2080, 442 Fed.</w:t>
      </w:r>
      <w:proofErr w:type="gramEnd"/>
      <w:r>
        <w:t xml:space="preserve"> </w:t>
      </w:r>
      <w:proofErr w:type="spellStart"/>
      <w:proofErr w:type="gramStart"/>
      <w:r>
        <w:t>Appx</w:t>
      </w:r>
      <w:proofErr w:type="spellEnd"/>
      <w:r>
        <w:t>.</w:t>
      </w:r>
      <w:proofErr w:type="gramEnd"/>
      <w:r>
        <w:t xml:space="preserve"> </w:t>
      </w:r>
      <w:proofErr w:type="gramStart"/>
      <w:r>
        <w:t xml:space="preserve">412 (CA–6, 2011) (single member liable for unpaid employment taxes of LLC); and </w:t>
      </w:r>
      <w:r w:rsidRPr="005E5F74">
        <w:rPr>
          <w:i/>
        </w:rPr>
        <w:t xml:space="preserve">Tony L. </w:t>
      </w:r>
      <w:proofErr w:type="spellStart"/>
      <w:r w:rsidRPr="005E5F74">
        <w:rPr>
          <w:i/>
        </w:rPr>
        <w:t>Robucci</w:t>
      </w:r>
      <w:proofErr w:type="spellEnd"/>
      <w:r>
        <w:t xml:space="preserve">, 101 TCM 1060, </w:t>
      </w:r>
      <w:proofErr w:type="spellStart"/>
      <w:r>
        <w:t>T.C.Memo</w:t>
      </w:r>
      <w:proofErr w:type="spellEnd"/>
      <w:r>
        <w:t>.</w:t>
      </w:r>
      <w:proofErr w:type="gramEnd"/>
      <w:r>
        <w:t xml:space="preserve"> 2011–19 (single member liable for self-employment taxes on LLC earnings)].</w:t>
      </w:r>
    </w:p>
    <w:p w:rsidR="00465EFC" w:rsidRDefault="00465EFC" w:rsidP="00465EFC">
      <w:pPr>
        <w:pStyle w:val="mainanswerparagraph"/>
        <w:tabs>
          <w:tab w:val="clear" w:pos="720"/>
        </w:tabs>
        <w:spacing w:line="240" w:lineRule="auto"/>
        <w:ind w:left="1440"/>
        <w:jc w:val="left"/>
        <w:rPr>
          <w:rFonts w:ascii="Times New Roman" w:hAnsi="Times New Roman"/>
          <w:sz w:val="24"/>
        </w:rPr>
      </w:pPr>
    </w:p>
    <w:p w:rsidR="00C312DB" w:rsidRDefault="00C312DB" w:rsidP="002E04A8">
      <w:pPr>
        <w:pStyle w:val="mainanswerparagraph"/>
        <w:tabs>
          <w:tab w:val="clear" w:pos="720"/>
        </w:tabs>
        <w:ind w:left="1440"/>
        <w:jc w:val="left"/>
        <w:rPr>
          <w:rFonts w:ascii="Times New Roman" w:hAnsi="Times New Roman"/>
          <w:sz w:val="24"/>
        </w:rPr>
      </w:pPr>
      <w:r>
        <w:rPr>
          <w:rFonts w:ascii="Times New Roman" w:hAnsi="Times New Roman"/>
          <w:sz w:val="24"/>
        </w:rPr>
        <w:t xml:space="preserve"> </w:t>
      </w:r>
    </w:p>
    <w:p w:rsidR="00906D2B" w:rsidRPr="00F81151" w:rsidRDefault="00906D2B" w:rsidP="002E04A8">
      <w:pPr>
        <w:pStyle w:val="mainanswerparagraph"/>
        <w:tabs>
          <w:tab w:val="clear" w:pos="720"/>
        </w:tabs>
        <w:ind w:left="1440"/>
        <w:jc w:val="left"/>
        <w:rPr>
          <w:rFonts w:ascii="Times New Roman" w:hAnsi="Times New Roman"/>
          <w:b/>
          <w:sz w:val="24"/>
        </w:rPr>
      </w:pPr>
    </w:p>
    <w:p w:rsidR="00775555" w:rsidRDefault="004C3E99" w:rsidP="002E04A8">
      <w:pPr>
        <w:pStyle w:val="Heading3"/>
        <w:ind w:hanging="720"/>
        <w:jc w:val="left"/>
      </w:pPr>
      <w:r>
        <w:t xml:space="preserve">2.2 </w:t>
      </w:r>
      <w:r w:rsidR="008546D0">
        <w:t xml:space="preserve">AN </w:t>
      </w:r>
      <w:r w:rsidR="00775555">
        <w:t>INTRODUCTION TO THE INCOME</w:t>
      </w:r>
      <w:r w:rsidR="006044F6">
        <w:t xml:space="preserve"> </w:t>
      </w:r>
      <w:r w:rsidR="00775555">
        <w:t>TAXATION OF CORPORATIONS</w:t>
      </w:r>
    </w:p>
    <w:p w:rsidR="001600E2" w:rsidRDefault="001600E2" w:rsidP="002E04A8">
      <w:pPr>
        <w:spacing w:line="240" w:lineRule="exact"/>
      </w:pPr>
    </w:p>
    <w:p w:rsidR="001600E2" w:rsidRPr="001600E2" w:rsidRDefault="001600E2" w:rsidP="002E04A8">
      <w:pPr>
        <w:spacing w:line="240" w:lineRule="exact"/>
        <w:rPr>
          <w:b/>
        </w:rPr>
      </w:pPr>
      <w:r w:rsidRPr="001600E2">
        <w:rPr>
          <w:b/>
        </w:rPr>
        <w:t>An Overview of Corporate versus Individual Income Tax Treatment</w:t>
      </w:r>
    </w:p>
    <w:p w:rsidR="001600E2" w:rsidRPr="001600E2" w:rsidRDefault="001600E2" w:rsidP="002E04A8">
      <w:pPr>
        <w:spacing w:line="240" w:lineRule="exact"/>
      </w:pPr>
    </w:p>
    <w:p w:rsidR="00775555" w:rsidRPr="00DE5C1C" w:rsidRDefault="001600E2" w:rsidP="002E04A8">
      <w:pPr>
        <w:pStyle w:val="mainanswerparagraph"/>
        <w:jc w:val="left"/>
        <w:rPr>
          <w:rFonts w:ascii="Times New Roman" w:hAnsi="Times New Roman"/>
          <w:spacing w:val="-4"/>
          <w:sz w:val="24"/>
        </w:rPr>
      </w:pPr>
      <w:r>
        <w:rPr>
          <w:rFonts w:ascii="Times New Roman" w:hAnsi="Times New Roman"/>
          <w:sz w:val="24"/>
        </w:rPr>
        <w:t>11</w:t>
      </w:r>
      <w:r w:rsidR="00775555">
        <w:rPr>
          <w:rFonts w:ascii="Times New Roman" w:hAnsi="Times New Roman"/>
          <w:sz w:val="24"/>
        </w:rPr>
        <w:t>.</w:t>
      </w:r>
      <w:r w:rsidR="00775555">
        <w:rPr>
          <w:rFonts w:ascii="Times New Roman" w:hAnsi="Times New Roman"/>
          <w:sz w:val="24"/>
        </w:rPr>
        <w:tab/>
      </w:r>
      <w:r w:rsidR="00775555" w:rsidRPr="00DE5C1C">
        <w:rPr>
          <w:rFonts w:ascii="Times New Roman" w:hAnsi="Times New Roman"/>
          <w:spacing w:val="-4"/>
          <w:sz w:val="24"/>
        </w:rPr>
        <w:t xml:space="preserve">There are </w:t>
      </w:r>
      <w:r w:rsidR="00472971" w:rsidRPr="00DE5C1C">
        <w:rPr>
          <w:rFonts w:ascii="Times New Roman" w:hAnsi="Times New Roman"/>
          <w:spacing w:val="-4"/>
          <w:sz w:val="24"/>
        </w:rPr>
        <w:t xml:space="preserve">similarities </w:t>
      </w:r>
      <w:r w:rsidR="00775555" w:rsidRPr="00DE5C1C">
        <w:rPr>
          <w:rFonts w:ascii="Times New Roman" w:hAnsi="Times New Roman"/>
          <w:spacing w:val="-4"/>
          <w:sz w:val="24"/>
        </w:rPr>
        <w:t>and</w:t>
      </w:r>
      <w:r w:rsidR="00472971" w:rsidRPr="00DE5C1C">
        <w:rPr>
          <w:rFonts w:ascii="Times New Roman" w:hAnsi="Times New Roman"/>
          <w:spacing w:val="-4"/>
          <w:sz w:val="24"/>
        </w:rPr>
        <w:t xml:space="preserve"> differences</w:t>
      </w:r>
      <w:r w:rsidR="00775555" w:rsidRPr="00DE5C1C">
        <w:rPr>
          <w:rFonts w:ascii="Times New Roman" w:hAnsi="Times New Roman"/>
          <w:spacing w:val="-4"/>
          <w:sz w:val="24"/>
        </w:rPr>
        <w:t xml:space="preserve"> between corporate and individual income tax treatment.</w:t>
      </w:r>
      <w:r w:rsidR="00073E65">
        <w:rPr>
          <w:rFonts w:ascii="Times New Roman" w:hAnsi="Times New Roman"/>
          <w:spacing w:val="-4"/>
          <w:sz w:val="24"/>
        </w:rPr>
        <w:t xml:space="preserve">  The tax formulas for these two types of taxpayers are contrasted in Figure 2.1.</w:t>
      </w:r>
    </w:p>
    <w:p w:rsidR="00775555" w:rsidRDefault="00775555" w:rsidP="002E04A8">
      <w:pPr>
        <w:spacing w:line="240" w:lineRule="exact"/>
      </w:pPr>
    </w:p>
    <w:p w:rsidR="00775555" w:rsidRDefault="00472971" w:rsidP="002E04A8">
      <w:pPr>
        <w:pStyle w:val="Subpartsanswer"/>
        <w:tabs>
          <w:tab w:val="clear" w:pos="1296"/>
          <w:tab w:val="left" w:pos="1440"/>
        </w:tabs>
        <w:ind w:left="1440" w:hanging="720"/>
        <w:jc w:val="left"/>
        <w:rPr>
          <w:rFonts w:ascii="Times New Roman" w:hAnsi="Times New Roman"/>
          <w:sz w:val="24"/>
        </w:rPr>
      </w:pPr>
      <w:r>
        <w:rPr>
          <w:rFonts w:ascii="Times New Roman" w:hAnsi="Times New Roman"/>
          <w:sz w:val="24"/>
        </w:rPr>
        <w:t>a.</w:t>
      </w:r>
      <w:r>
        <w:rPr>
          <w:rFonts w:ascii="Times New Roman" w:hAnsi="Times New Roman"/>
          <w:sz w:val="24"/>
        </w:rPr>
        <w:tab/>
        <w:t>D</w:t>
      </w:r>
      <w:r w:rsidR="00775555">
        <w:rPr>
          <w:rFonts w:ascii="Times New Roman" w:hAnsi="Times New Roman"/>
          <w:sz w:val="24"/>
        </w:rPr>
        <w:t xml:space="preserve">etermination of gross income is </w:t>
      </w:r>
      <w:r w:rsidR="008546D0">
        <w:rPr>
          <w:rFonts w:ascii="Times New Roman" w:hAnsi="Times New Roman"/>
          <w:sz w:val="24"/>
        </w:rPr>
        <w:t>computed</w:t>
      </w:r>
      <w:r w:rsidR="00775555">
        <w:rPr>
          <w:rFonts w:ascii="Times New Roman" w:hAnsi="Times New Roman"/>
          <w:sz w:val="24"/>
        </w:rPr>
        <w:t xml:space="preserve"> in much the same manner for corporation</w:t>
      </w:r>
      <w:r w:rsidR="008546D0">
        <w:rPr>
          <w:rFonts w:ascii="Times New Roman" w:hAnsi="Times New Roman"/>
          <w:sz w:val="24"/>
        </w:rPr>
        <w:t>s</w:t>
      </w:r>
      <w:r w:rsidR="00775555">
        <w:rPr>
          <w:rFonts w:ascii="Times New Roman" w:hAnsi="Times New Roman"/>
          <w:sz w:val="24"/>
        </w:rPr>
        <w:t xml:space="preserve"> </w:t>
      </w:r>
      <w:r w:rsidR="008546D0">
        <w:rPr>
          <w:rFonts w:ascii="Times New Roman" w:hAnsi="Times New Roman"/>
          <w:sz w:val="24"/>
        </w:rPr>
        <w:t>and</w:t>
      </w:r>
      <w:r w:rsidR="00775555">
        <w:rPr>
          <w:rFonts w:ascii="Times New Roman" w:hAnsi="Times New Roman"/>
          <w:sz w:val="24"/>
        </w:rPr>
        <w:t xml:space="preserve"> </w:t>
      </w:r>
      <w:r w:rsidR="008546D0">
        <w:rPr>
          <w:rFonts w:ascii="Times New Roman" w:hAnsi="Times New Roman"/>
          <w:sz w:val="24"/>
        </w:rPr>
        <w:t>i</w:t>
      </w:r>
      <w:r w:rsidR="00775555">
        <w:rPr>
          <w:rFonts w:ascii="Times New Roman" w:hAnsi="Times New Roman"/>
          <w:sz w:val="24"/>
        </w:rPr>
        <w:t>ndividual</w:t>
      </w:r>
      <w:r w:rsidR="008546D0">
        <w:rPr>
          <w:rFonts w:ascii="Times New Roman" w:hAnsi="Times New Roman"/>
          <w:sz w:val="24"/>
        </w:rPr>
        <w:t>s</w:t>
      </w:r>
      <w:r w:rsidR="00775555">
        <w:rPr>
          <w:rFonts w:ascii="Times New Roman" w:hAnsi="Times New Roman"/>
          <w:sz w:val="24"/>
        </w:rPr>
        <w:t xml:space="preserve">. </w:t>
      </w:r>
      <w:r w:rsidR="008546D0">
        <w:rPr>
          <w:rFonts w:ascii="Times New Roman" w:hAnsi="Times New Roman"/>
          <w:sz w:val="24"/>
        </w:rPr>
        <w:t xml:space="preserve">However, </w:t>
      </w:r>
      <w:r w:rsidR="00775555">
        <w:rPr>
          <w:rFonts w:ascii="Times New Roman" w:hAnsi="Times New Roman"/>
          <w:sz w:val="24"/>
        </w:rPr>
        <w:t>corporation</w:t>
      </w:r>
      <w:r w:rsidR="008546D0">
        <w:rPr>
          <w:rFonts w:ascii="Times New Roman" w:hAnsi="Times New Roman"/>
          <w:sz w:val="24"/>
        </w:rPr>
        <w:t>s</w:t>
      </w:r>
      <w:r w:rsidR="00775555">
        <w:rPr>
          <w:rFonts w:ascii="Times New Roman" w:hAnsi="Times New Roman"/>
          <w:sz w:val="24"/>
        </w:rPr>
        <w:t xml:space="preserve"> ha</w:t>
      </w:r>
      <w:r w:rsidR="008546D0">
        <w:rPr>
          <w:rFonts w:ascii="Times New Roman" w:hAnsi="Times New Roman"/>
          <w:sz w:val="24"/>
        </w:rPr>
        <w:t>ve</w:t>
      </w:r>
      <w:r w:rsidR="00775555">
        <w:rPr>
          <w:rFonts w:ascii="Times New Roman" w:hAnsi="Times New Roman"/>
          <w:sz w:val="24"/>
        </w:rPr>
        <w:t xml:space="preserve"> no itemized deductions (as all its expenses are business deductions) </w:t>
      </w:r>
      <w:r w:rsidR="008546D0">
        <w:rPr>
          <w:rFonts w:ascii="Times New Roman" w:hAnsi="Times New Roman"/>
          <w:sz w:val="24"/>
        </w:rPr>
        <w:t xml:space="preserve">nor </w:t>
      </w:r>
      <w:r w:rsidR="00775555">
        <w:rPr>
          <w:rFonts w:ascii="Times New Roman" w:hAnsi="Times New Roman"/>
          <w:sz w:val="24"/>
        </w:rPr>
        <w:t xml:space="preserve">do </w:t>
      </w:r>
      <w:r w:rsidR="008546D0">
        <w:rPr>
          <w:rFonts w:ascii="Times New Roman" w:hAnsi="Times New Roman"/>
          <w:sz w:val="24"/>
        </w:rPr>
        <w:t xml:space="preserve">they </w:t>
      </w:r>
      <w:r w:rsidR="00775555">
        <w:rPr>
          <w:rFonts w:ascii="Times New Roman" w:hAnsi="Times New Roman"/>
          <w:sz w:val="24"/>
        </w:rPr>
        <w:t>have standard deduction</w:t>
      </w:r>
      <w:r w:rsidR="008546D0">
        <w:rPr>
          <w:rFonts w:ascii="Times New Roman" w:hAnsi="Times New Roman"/>
          <w:sz w:val="24"/>
        </w:rPr>
        <w:t>s</w:t>
      </w:r>
      <w:r w:rsidR="00775555">
        <w:rPr>
          <w:rFonts w:ascii="Times New Roman" w:hAnsi="Times New Roman"/>
          <w:sz w:val="24"/>
        </w:rPr>
        <w:t xml:space="preserve"> or personal and dependency exemptions.</w:t>
      </w:r>
    </w:p>
    <w:p w:rsidR="00775555" w:rsidRDefault="00775555" w:rsidP="002E04A8">
      <w:pPr>
        <w:pStyle w:val="subquestionpara"/>
        <w:tabs>
          <w:tab w:val="left" w:pos="1440"/>
        </w:tabs>
        <w:ind w:left="1440" w:hanging="720"/>
        <w:rPr>
          <w:rFonts w:ascii="Times New Roman" w:hAnsi="Times New Roman"/>
          <w:sz w:val="24"/>
        </w:rPr>
      </w:pPr>
    </w:p>
    <w:p w:rsidR="004911AB" w:rsidRDefault="008546D0" w:rsidP="00684849">
      <w:pPr>
        <w:pStyle w:val="Subpartsanswer"/>
        <w:keepNext/>
        <w:tabs>
          <w:tab w:val="clear" w:pos="1296"/>
          <w:tab w:val="left" w:pos="1440"/>
        </w:tabs>
        <w:ind w:left="1440" w:hanging="720"/>
        <w:jc w:val="left"/>
        <w:rPr>
          <w:rFonts w:ascii="Times New Roman" w:hAnsi="Times New Roman"/>
          <w:sz w:val="24"/>
        </w:rPr>
      </w:pPr>
      <w:r>
        <w:rPr>
          <w:rFonts w:ascii="Times New Roman" w:hAnsi="Times New Roman"/>
          <w:sz w:val="24"/>
        </w:rPr>
        <w:t>b.</w:t>
      </w:r>
      <w:r>
        <w:rPr>
          <w:rFonts w:ascii="Times New Roman" w:hAnsi="Times New Roman"/>
          <w:sz w:val="24"/>
        </w:rPr>
        <w:tab/>
        <w:t>P</w:t>
      </w:r>
      <w:r w:rsidR="00775555">
        <w:rPr>
          <w:rFonts w:ascii="Times New Roman" w:hAnsi="Times New Roman"/>
          <w:sz w:val="24"/>
        </w:rPr>
        <w:t>roperty transaction</w:t>
      </w:r>
      <w:r>
        <w:rPr>
          <w:rFonts w:ascii="Times New Roman" w:hAnsi="Times New Roman"/>
          <w:sz w:val="24"/>
        </w:rPr>
        <w:t xml:space="preserve"> tax rules apply</w:t>
      </w:r>
      <w:r w:rsidR="00775555">
        <w:rPr>
          <w:rFonts w:ascii="Times New Roman" w:hAnsi="Times New Roman"/>
          <w:sz w:val="24"/>
        </w:rPr>
        <w:t xml:space="preserve"> to both corporate and noncorporate taxpayers</w:t>
      </w:r>
      <w:r>
        <w:rPr>
          <w:rFonts w:ascii="Times New Roman" w:hAnsi="Times New Roman"/>
          <w:sz w:val="24"/>
        </w:rPr>
        <w:t xml:space="preserve">. </w:t>
      </w:r>
    </w:p>
    <w:p w:rsidR="004911AB" w:rsidRDefault="004911AB" w:rsidP="002E04A8">
      <w:pPr>
        <w:pStyle w:val="Subpartsanswer"/>
        <w:tabs>
          <w:tab w:val="clear" w:pos="1296"/>
          <w:tab w:val="left" w:pos="1440"/>
        </w:tabs>
        <w:ind w:left="1440" w:hanging="720"/>
        <w:jc w:val="left"/>
        <w:rPr>
          <w:rFonts w:ascii="Times New Roman" w:hAnsi="Times New Roman"/>
          <w:sz w:val="24"/>
        </w:rPr>
      </w:pPr>
    </w:p>
    <w:p w:rsidR="004911AB" w:rsidRDefault="004911AB" w:rsidP="002E04A8">
      <w:pPr>
        <w:pStyle w:val="Subpartsanswer"/>
        <w:tabs>
          <w:tab w:val="clear" w:pos="1296"/>
          <w:tab w:val="left" w:pos="1440"/>
        </w:tabs>
        <w:ind w:left="2160" w:hanging="1440"/>
        <w:jc w:val="left"/>
        <w:rPr>
          <w:rFonts w:ascii="Times New Roman" w:hAnsi="Times New Roman"/>
          <w:sz w:val="24"/>
        </w:rPr>
      </w:pPr>
      <w:r>
        <w:rPr>
          <w:rFonts w:ascii="Times New Roman" w:hAnsi="Times New Roman"/>
          <w:sz w:val="24"/>
        </w:rPr>
        <w:tab/>
        <w:t>(1)</w:t>
      </w:r>
      <w:r>
        <w:rPr>
          <w:rFonts w:ascii="Times New Roman" w:hAnsi="Times New Roman"/>
          <w:sz w:val="24"/>
        </w:rPr>
        <w:tab/>
      </w:r>
      <w:r w:rsidR="00943ADF">
        <w:rPr>
          <w:rFonts w:ascii="Times New Roman" w:hAnsi="Times New Roman"/>
          <w:sz w:val="24"/>
        </w:rPr>
        <w:t>I</w:t>
      </w:r>
      <w:r w:rsidR="008546D0">
        <w:rPr>
          <w:rFonts w:ascii="Times New Roman" w:hAnsi="Times New Roman"/>
          <w:sz w:val="24"/>
        </w:rPr>
        <w:t>ncludes definition of what are not capital assets</w:t>
      </w:r>
      <w:r w:rsidR="00EB1FE9">
        <w:rPr>
          <w:rFonts w:ascii="Times New Roman" w:hAnsi="Times New Roman"/>
          <w:sz w:val="24"/>
        </w:rPr>
        <w:t xml:space="preserve"> (§ 1221)</w:t>
      </w:r>
      <w:r w:rsidR="008546D0">
        <w:rPr>
          <w:rFonts w:ascii="Times New Roman" w:hAnsi="Times New Roman"/>
          <w:sz w:val="24"/>
        </w:rPr>
        <w:t xml:space="preserve"> and nontaxable exchanges.</w:t>
      </w:r>
      <w:r w:rsidR="00536955">
        <w:rPr>
          <w:rFonts w:ascii="Times New Roman" w:hAnsi="Times New Roman"/>
          <w:sz w:val="24"/>
        </w:rPr>
        <w:t xml:space="preserve"> </w:t>
      </w:r>
    </w:p>
    <w:p w:rsidR="004911AB" w:rsidRDefault="004911AB" w:rsidP="002E04A8">
      <w:pPr>
        <w:pStyle w:val="Subpartsanswer"/>
        <w:tabs>
          <w:tab w:val="clear" w:pos="1296"/>
          <w:tab w:val="left" w:pos="1440"/>
        </w:tabs>
        <w:ind w:left="2160" w:hanging="1440"/>
        <w:jc w:val="left"/>
        <w:rPr>
          <w:rFonts w:ascii="Times New Roman" w:hAnsi="Times New Roman"/>
          <w:sz w:val="24"/>
        </w:rPr>
      </w:pPr>
    </w:p>
    <w:p w:rsidR="00775555" w:rsidRPr="00943ADF" w:rsidRDefault="004911AB" w:rsidP="002E04A8">
      <w:pPr>
        <w:pStyle w:val="Subpartsanswer"/>
        <w:tabs>
          <w:tab w:val="clear" w:pos="1296"/>
          <w:tab w:val="left" w:pos="1440"/>
        </w:tabs>
        <w:ind w:left="2160" w:hanging="1440"/>
        <w:jc w:val="left"/>
        <w:rPr>
          <w:rFonts w:ascii="Times New Roman" w:hAnsi="Times New Roman"/>
          <w:spacing w:val="-6"/>
          <w:sz w:val="24"/>
          <w:szCs w:val="24"/>
        </w:rPr>
      </w:pPr>
      <w:r>
        <w:rPr>
          <w:rFonts w:ascii="Times New Roman" w:hAnsi="Times New Roman"/>
          <w:sz w:val="24"/>
        </w:rPr>
        <w:tab/>
        <w:t>(2)</w:t>
      </w:r>
      <w:r>
        <w:rPr>
          <w:rFonts w:ascii="Times New Roman" w:hAnsi="Times New Roman"/>
          <w:sz w:val="24"/>
        </w:rPr>
        <w:tab/>
      </w:r>
      <w:r w:rsidR="00F15A3D" w:rsidRPr="00943ADF">
        <w:rPr>
          <w:rFonts w:ascii="Times New Roman" w:hAnsi="Times New Roman"/>
          <w:spacing w:val="-6"/>
          <w:sz w:val="24"/>
          <w:szCs w:val="24"/>
        </w:rPr>
        <w:t xml:space="preserve">Fewer exclusion provisions are available to corporate taxpayers. </w:t>
      </w:r>
      <w:r w:rsidR="00DE3CE3">
        <w:rPr>
          <w:rFonts w:ascii="Times New Roman" w:hAnsi="Times New Roman"/>
          <w:spacing w:val="-6"/>
          <w:sz w:val="24"/>
          <w:szCs w:val="24"/>
        </w:rPr>
        <w:t>The e</w:t>
      </w:r>
      <w:r w:rsidR="00F15A3D" w:rsidRPr="00943ADF">
        <w:rPr>
          <w:rFonts w:ascii="Times New Roman" w:hAnsi="Times New Roman"/>
          <w:spacing w:val="-6"/>
          <w:sz w:val="24"/>
          <w:szCs w:val="24"/>
        </w:rPr>
        <w:t>xclusion permitted by § 1</w:t>
      </w:r>
      <w:r w:rsidR="00775555" w:rsidRPr="00943ADF">
        <w:rPr>
          <w:rFonts w:ascii="Times New Roman" w:hAnsi="Times New Roman"/>
          <w:spacing w:val="-6"/>
          <w:sz w:val="24"/>
          <w:szCs w:val="24"/>
        </w:rPr>
        <w:t>21 (</w:t>
      </w:r>
      <w:r w:rsidR="00DE3CE3">
        <w:rPr>
          <w:rFonts w:ascii="Times New Roman" w:hAnsi="Times New Roman"/>
          <w:spacing w:val="-6"/>
          <w:sz w:val="24"/>
          <w:szCs w:val="24"/>
        </w:rPr>
        <w:t xml:space="preserve">the </w:t>
      </w:r>
      <w:r w:rsidR="00F15A3D" w:rsidRPr="00943ADF">
        <w:rPr>
          <w:rFonts w:ascii="Times New Roman" w:hAnsi="Times New Roman"/>
          <w:spacing w:val="-6"/>
          <w:sz w:val="24"/>
          <w:szCs w:val="24"/>
        </w:rPr>
        <w:t xml:space="preserve">sale of a personal residence) does not apply to </w:t>
      </w:r>
      <w:r w:rsidR="00775555" w:rsidRPr="00943ADF">
        <w:rPr>
          <w:rFonts w:ascii="Times New Roman" w:hAnsi="Times New Roman"/>
          <w:spacing w:val="-6"/>
          <w:sz w:val="24"/>
          <w:szCs w:val="24"/>
        </w:rPr>
        <w:t>corporat</w:t>
      </w:r>
      <w:r w:rsidR="00F15A3D" w:rsidRPr="00943ADF">
        <w:rPr>
          <w:rFonts w:ascii="Times New Roman" w:hAnsi="Times New Roman"/>
          <w:spacing w:val="-6"/>
          <w:sz w:val="24"/>
          <w:szCs w:val="24"/>
        </w:rPr>
        <w:t>ions</w:t>
      </w:r>
      <w:r w:rsidR="00775555" w:rsidRPr="00943ADF">
        <w:rPr>
          <w:rFonts w:ascii="Times New Roman" w:hAnsi="Times New Roman"/>
          <w:spacing w:val="-6"/>
          <w:sz w:val="24"/>
          <w:szCs w:val="24"/>
        </w:rPr>
        <w:t>.</w:t>
      </w:r>
      <w:r w:rsidR="00536955" w:rsidRPr="00943ADF">
        <w:rPr>
          <w:rFonts w:ascii="Times New Roman" w:hAnsi="Times New Roman"/>
          <w:spacing w:val="-6"/>
          <w:sz w:val="24"/>
          <w:szCs w:val="24"/>
        </w:rPr>
        <w:t xml:space="preserve"> </w:t>
      </w:r>
      <w:proofErr w:type="gramStart"/>
      <w:r w:rsidR="00943ADF">
        <w:rPr>
          <w:rFonts w:ascii="Times New Roman" w:hAnsi="Times New Roman"/>
          <w:spacing w:val="-6"/>
          <w:sz w:val="24"/>
          <w:szCs w:val="24"/>
        </w:rPr>
        <w:t>T</w:t>
      </w:r>
      <w:r w:rsidR="00775555" w:rsidRPr="00943ADF">
        <w:rPr>
          <w:rFonts w:ascii="Times New Roman" w:hAnsi="Times New Roman"/>
          <w:spacing w:val="-6"/>
          <w:sz w:val="24"/>
          <w:szCs w:val="24"/>
        </w:rPr>
        <w:t xml:space="preserve">his </w:t>
      </w:r>
      <w:r w:rsidR="00943ADF">
        <w:rPr>
          <w:rFonts w:ascii="Times New Roman" w:hAnsi="Times New Roman"/>
          <w:spacing w:val="-6"/>
          <w:sz w:val="24"/>
          <w:szCs w:val="24"/>
        </w:rPr>
        <w:t xml:space="preserve">last point seems simple enough, but </w:t>
      </w:r>
      <w:r w:rsidR="00775555" w:rsidRPr="00943ADF">
        <w:rPr>
          <w:rFonts w:ascii="Times New Roman" w:hAnsi="Times New Roman"/>
          <w:spacing w:val="-6"/>
          <w:sz w:val="24"/>
          <w:szCs w:val="24"/>
        </w:rPr>
        <w:t>consider</w:t>
      </w:r>
      <w:proofErr w:type="gramEnd"/>
      <w:r w:rsidR="00775555" w:rsidRPr="00943ADF">
        <w:rPr>
          <w:rFonts w:ascii="Times New Roman" w:hAnsi="Times New Roman"/>
          <w:spacing w:val="-6"/>
          <w:sz w:val="24"/>
          <w:szCs w:val="24"/>
        </w:rPr>
        <w:t xml:space="preserve"> the following illustration</w:t>
      </w:r>
      <w:r w:rsidR="00943ADF">
        <w:rPr>
          <w:rFonts w:ascii="Times New Roman" w:hAnsi="Times New Roman"/>
          <w:spacing w:val="-6"/>
          <w:sz w:val="24"/>
          <w:szCs w:val="24"/>
        </w:rPr>
        <w:t>.</w:t>
      </w:r>
    </w:p>
    <w:p w:rsidR="00775555" w:rsidRDefault="00775555" w:rsidP="002E04A8">
      <w:pPr>
        <w:pStyle w:val="subanswerblockpara"/>
        <w:jc w:val="left"/>
        <w:rPr>
          <w:rFonts w:ascii="Times New Roman" w:hAnsi="Times New Roman"/>
          <w:sz w:val="24"/>
          <w:u w:val="single"/>
        </w:rPr>
      </w:pPr>
    </w:p>
    <w:p w:rsidR="00775555" w:rsidRPr="004E015C" w:rsidRDefault="00EB4B54" w:rsidP="002E04A8">
      <w:pPr>
        <w:pStyle w:val="subanswerblockpara"/>
        <w:tabs>
          <w:tab w:val="clear" w:pos="1296"/>
        </w:tabs>
        <w:ind w:left="2160" w:hanging="720"/>
        <w:jc w:val="left"/>
        <w:rPr>
          <w:rFonts w:ascii="Times New Roman" w:hAnsi="Times New Roman"/>
          <w:sz w:val="24"/>
        </w:rPr>
      </w:pPr>
      <w:r>
        <w:rPr>
          <w:rFonts w:ascii="Times New Roman" w:hAnsi="Times New Roman"/>
          <w:sz w:val="24"/>
        </w:rPr>
        <w:tab/>
      </w:r>
      <w:proofErr w:type="gramStart"/>
      <w:r w:rsidR="00960E1F" w:rsidRPr="004E015C">
        <w:rPr>
          <w:rFonts w:ascii="Times New Roman" w:hAnsi="Times New Roman"/>
          <w:sz w:val="24"/>
        </w:rPr>
        <w:t>Example.</w:t>
      </w:r>
      <w:proofErr w:type="gramEnd"/>
      <w:r w:rsidR="00775555" w:rsidRPr="004E015C">
        <w:rPr>
          <w:rFonts w:ascii="Times New Roman" w:hAnsi="Times New Roman"/>
          <w:sz w:val="24"/>
        </w:rPr>
        <w:t xml:space="preserve"> Ed is employed as general manager of Green Brewing Corporation.</w:t>
      </w:r>
      <w:r w:rsidR="00536955" w:rsidRPr="004E015C">
        <w:rPr>
          <w:rFonts w:ascii="Times New Roman" w:hAnsi="Times New Roman"/>
          <w:sz w:val="24"/>
        </w:rPr>
        <w:t xml:space="preserve"> </w:t>
      </w:r>
      <w:r w:rsidR="00775555" w:rsidRPr="004E015C">
        <w:rPr>
          <w:rFonts w:ascii="Times New Roman" w:hAnsi="Times New Roman"/>
          <w:sz w:val="24"/>
        </w:rPr>
        <w:t>In this capacity, Ed is in charge of quality control, a feature highly touted by Green in advertising to its customers.</w:t>
      </w:r>
      <w:r w:rsidR="00536955" w:rsidRPr="004E015C">
        <w:rPr>
          <w:rFonts w:ascii="Times New Roman" w:hAnsi="Times New Roman"/>
          <w:sz w:val="24"/>
        </w:rPr>
        <w:t xml:space="preserve"> </w:t>
      </w:r>
      <w:r w:rsidR="00775555" w:rsidRPr="004E015C">
        <w:rPr>
          <w:rFonts w:ascii="Times New Roman" w:hAnsi="Times New Roman"/>
          <w:sz w:val="24"/>
        </w:rPr>
        <w:t>To main</w:t>
      </w:r>
      <w:r w:rsidR="00775555" w:rsidRPr="004E015C">
        <w:rPr>
          <w:rFonts w:ascii="Times New Roman" w:hAnsi="Times New Roman"/>
          <w:sz w:val="24"/>
        </w:rPr>
        <w:softHyphen/>
        <w:t>tain constant quality control, Ed is required to live in a residence owned by Green and located adjacent to its brewery.</w:t>
      </w:r>
      <w:r w:rsidR="00536955" w:rsidRPr="004E015C">
        <w:rPr>
          <w:rFonts w:ascii="Times New Roman" w:hAnsi="Times New Roman"/>
          <w:sz w:val="24"/>
        </w:rPr>
        <w:t xml:space="preserve"> </w:t>
      </w:r>
      <w:r w:rsidR="00775555" w:rsidRPr="004E015C">
        <w:rPr>
          <w:rFonts w:ascii="Times New Roman" w:hAnsi="Times New Roman"/>
          <w:sz w:val="24"/>
        </w:rPr>
        <w:t>If Green sold this residence for a gain, it may not use § 121 to exclude such gain.</w:t>
      </w:r>
      <w:r w:rsidR="00536955" w:rsidRPr="004E015C">
        <w:rPr>
          <w:rFonts w:ascii="Times New Roman" w:hAnsi="Times New Roman"/>
          <w:sz w:val="24"/>
        </w:rPr>
        <w:t xml:space="preserve"> </w:t>
      </w:r>
      <w:r w:rsidR="00775555" w:rsidRPr="004E015C">
        <w:rPr>
          <w:rFonts w:ascii="Times New Roman" w:hAnsi="Times New Roman"/>
          <w:sz w:val="24"/>
        </w:rPr>
        <w:t>Had the residence been owned by Ed (and not Green Brewing Corporation), § 121 would be available to Ed.</w:t>
      </w:r>
    </w:p>
    <w:p w:rsidR="00032AB9" w:rsidRDefault="00032AB9" w:rsidP="00CD3C31">
      <w:pPr>
        <w:pStyle w:val="subanswerblockpara"/>
        <w:tabs>
          <w:tab w:val="clear" w:pos="1296"/>
        </w:tabs>
        <w:ind w:left="1440" w:hanging="720"/>
        <w:jc w:val="left"/>
        <w:rPr>
          <w:rFonts w:ascii="Times New Roman" w:hAnsi="Times New Roman"/>
          <w:sz w:val="24"/>
        </w:rPr>
      </w:pPr>
    </w:p>
    <w:p w:rsidR="008546D0" w:rsidRDefault="008546D0" w:rsidP="00CD3C31">
      <w:pPr>
        <w:spacing w:line="240" w:lineRule="exact"/>
        <w:ind w:left="1440" w:hanging="720"/>
      </w:pPr>
      <w:r w:rsidRPr="008546D0">
        <w:t>c.</w:t>
      </w:r>
      <w:r w:rsidRPr="008546D0">
        <w:tab/>
      </w:r>
      <w:r w:rsidR="004B4AB2">
        <w:t xml:space="preserve">Credits that are personal in nature </w:t>
      </w:r>
      <w:r w:rsidR="00524FB4">
        <w:t>(child credit</w:t>
      </w:r>
      <w:r w:rsidR="00EE7083">
        <w:t>, earned income credit</w:t>
      </w:r>
      <w:r w:rsidR="00524FB4">
        <w:t>)</w:t>
      </w:r>
      <w:r w:rsidR="004B4AB2">
        <w:t xml:space="preserve"> are not available to corporations.</w:t>
      </w:r>
    </w:p>
    <w:p w:rsidR="004B4AB2" w:rsidRDefault="004B4AB2" w:rsidP="00CD3C31">
      <w:pPr>
        <w:spacing w:line="240" w:lineRule="exact"/>
        <w:ind w:left="1440" w:hanging="720"/>
      </w:pPr>
    </w:p>
    <w:p w:rsidR="004B4AB2" w:rsidRPr="008546D0" w:rsidRDefault="004B4AB2" w:rsidP="00CD3C31">
      <w:pPr>
        <w:spacing w:line="240" w:lineRule="exact"/>
        <w:ind w:left="1440" w:hanging="720"/>
      </w:pPr>
      <w:r>
        <w:t>d.</w:t>
      </w:r>
      <w:r>
        <w:tab/>
        <w:t xml:space="preserve">Charitable contributions and </w:t>
      </w:r>
      <w:r w:rsidR="00524FB4">
        <w:t xml:space="preserve">casualty/theft </w:t>
      </w:r>
      <w:r>
        <w:t xml:space="preserve">losses have substantially different limitations for corporations and individuals. </w:t>
      </w:r>
    </w:p>
    <w:p w:rsidR="008546D0" w:rsidRDefault="008546D0" w:rsidP="002E04A8">
      <w:pPr>
        <w:spacing w:line="240" w:lineRule="exact"/>
        <w:rPr>
          <w:b/>
        </w:rPr>
      </w:pPr>
    </w:p>
    <w:p w:rsidR="00465EFC" w:rsidRDefault="00465EFC" w:rsidP="002E04A8">
      <w:pPr>
        <w:spacing w:line="240" w:lineRule="exact"/>
        <w:rPr>
          <w:b/>
        </w:rPr>
      </w:pPr>
    </w:p>
    <w:p w:rsidR="00775555" w:rsidRDefault="00032AB9" w:rsidP="002E04A8">
      <w:pPr>
        <w:spacing w:line="240" w:lineRule="exact"/>
        <w:rPr>
          <w:b/>
        </w:rPr>
      </w:pPr>
      <w:r>
        <w:rPr>
          <w:b/>
        </w:rPr>
        <w:t xml:space="preserve">Accounting Periods </w:t>
      </w:r>
      <w:r w:rsidR="002A00CC">
        <w:rPr>
          <w:b/>
        </w:rPr>
        <w:t>a</w:t>
      </w:r>
      <w:r>
        <w:rPr>
          <w:b/>
        </w:rPr>
        <w:t>nd Methods</w:t>
      </w:r>
    </w:p>
    <w:p w:rsidR="00775555" w:rsidRDefault="00775555" w:rsidP="002E04A8">
      <w:pPr>
        <w:spacing w:line="240" w:lineRule="exact"/>
      </w:pPr>
    </w:p>
    <w:p w:rsidR="00775555" w:rsidRPr="004B4AB2" w:rsidRDefault="00173491" w:rsidP="002E04A8">
      <w:pPr>
        <w:pStyle w:val="mainanswerparagraph"/>
        <w:jc w:val="left"/>
        <w:rPr>
          <w:rFonts w:ascii="Times New Roman" w:hAnsi="Times New Roman"/>
          <w:sz w:val="24"/>
        </w:rPr>
      </w:pPr>
      <w:r>
        <w:rPr>
          <w:rFonts w:ascii="Times New Roman" w:hAnsi="Times New Roman"/>
          <w:sz w:val="24"/>
        </w:rPr>
        <w:t>12</w:t>
      </w:r>
      <w:r w:rsidR="00775555">
        <w:rPr>
          <w:rFonts w:ascii="Times New Roman" w:hAnsi="Times New Roman"/>
          <w:sz w:val="24"/>
        </w:rPr>
        <w:t>.</w:t>
      </w:r>
      <w:r w:rsidR="00775555">
        <w:rPr>
          <w:rFonts w:ascii="Times New Roman" w:hAnsi="Times New Roman"/>
          <w:sz w:val="24"/>
        </w:rPr>
        <w:tab/>
        <w:t xml:space="preserve">C corporations may choose a calendar year or a fiscal year for reporting purposes, but S corporations and personal service corporations (PSCs) are subject to restrictions in the </w:t>
      </w:r>
      <w:r w:rsidR="00775555" w:rsidRPr="004B4AB2">
        <w:rPr>
          <w:rFonts w:ascii="Times New Roman" w:hAnsi="Times New Roman"/>
          <w:sz w:val="24"/>
        </w:rPr>
        <w:t>choice of a fiscal year.</w:t>
      </w:r>
    </w:p>
    <w:p w:rsidR="00775555" w:rsidRPr="004B4AB2" w:rsidRDefault="00775555" w:rsidP="002E04A8">
      <w:pPr>
        <w:spacing w:line="240" w:lineRule="exact"/>
      </w:pPr>
    </w:p>
    <w:p w:rsidR="00775555" w:rsidRDefault="00173491" w:rsidP="002E04A8">
      <w:pPr>
        <w:pStyle w:val="mainanswerparagraph"/>
        <w:jc w:val="left"/>
        <w:rPr>
          <w:rFonts w:ascii="Times New Roman" w:hAnsi="Times New Roman"/>
          <w:sz w:val="24"/>
        </w:rPr>
      </w:pPr>
      <w:r w:rsidRPr="004B4AB2">
        <w:rPr>
          <w:rFonts w:ascii="Times New Roman" w:hAnsi="Times New Roman"/>
          <w:sz w:val="24"/>
        </w:rPr>
        <w:t>13</w:t>
      </w:r>
      <w:r w:rsidR="00775555" w:rsidRPr="004B4AB2">
        <w:rPr>
          <w:rFonts w:ascii="Times New Roman" w:hAnsi="Times New Roman"/>
          <w:sz w:val="24"/>
        </w:rPr>
        <w:t>.</w:t>
      </w:r>
      <w:r w:rsidR="00775555" w:rsidRPr="004B4AB2">
        <w:rPr>
          <w:rFonts w:ascii="Times New Roman" w:hAnsi="Times New Roman"/>
          <w:sz w:val="24"/>
        </w:rPr>
        <w:tab/>
      </w:r>
      <w:r w:rsidR="006C06B0">
        <w:rPr>
          <w:rFonts w:ascii="Times New Roman" w:hAnsi="Times New Roman"/>
          <w:sz w:val="24"/>
        </w:rPr>
        <w:t>C</w:t>
      </w:r>
      <w:r w:rsidR="00775555" w:rsidRPr="004B4AB2">
        <w:rPr>
          <w:rFonts w:ascii="Times New Roman" w:hAnsi="Times New Roman"/>
          <w:sz w:val="24"/>
        </w:rPr>
        <w:t>ash method</w:t>
      </w:r>
      <w:r w:rsidR="004B4AB2" w:rsidRPr="004B4AB2">
        <w:rPr>
          <w:rFonts w:ascii="Times New Roman" w:hAnsi="Times New Roman"/>
          <w:sz w:val="24"/>
        </w:rPr>
        <w:t xml:space="preserve"> of accounting</w:t>
      </w:r>
      <w:r w:rsidR="004B4AB2">
        <w:rPr>
          <w:rFonts w:ascii="Times New Roman" w:hAnsi="Times New Roman"/>
          <w:sz w:val="24"/>
        </w:rPr>
        <w:t xml:space="preserve">, available to individuals, </w:t>
      </w:r>
      <w:r w:rsidR="00775555">
        <w:rPr>
          <w:rFonts w:ascii="Times New Roman" w:hAnsi="Times New Roman"/>
          <w:sz w:val="24"/>
        </w:rPr>
        <w:t xml:space="preserve">is not available to </w:t>
      </w:r>
      <w:r w:rsidR="004B4AB2">
        <w:rPr>
          <w:rFonts w:ascii="Times New Roman" w:hAnsi="Times New Roman"/>
          <w:sz w:val="24"/>
        </w:rPr>
        <w:t xml:space="preserve">most </w:t>
      </w:r>
      <w:r w:rsidR="00775555">
        <w:rPr>
          <w:rFonts w:ascii="Times New Roman" w:hAnsi="Times New Roman"/>
          <w:sz w:val="24"/>
        </w:rPr>
        <w:t>regular corporations</w:t>
      </w:r>
      <w:r w:rsidR="004B4AB2">
        <w:rPr>
          <w:rFonts w:ascii="Times New Roman" w:hAnsi="Times New Roman"/>
          <w:sz w:val="24"/>
        </w:rPr>
        <w:t xml:space="preserve">. Cash method is allowed for </w:t>
      </w:r>
      <w:r w:rsidR="00775555">
        <w:rPr>
          <w:rFonts w:ascii="Times New Roman" w:hAnsi="Times New Roman"/>
          <w:sz w:val="24"/>
        </w:rPr>
        <w:t>S corporations</w:t>
      </w:r>
      <w:r w:rsidR="00887D84">
        <w:rPr>
          <w:rFonts w:ascii="Times New Roman" w:hAnsi="Times New Roman"/>
          <w:sz w:val="24"/>
        </w:rPr>
        <w:t>, qualified PSC</w:t>
      </w:r>
      <w:r w:rsidR="004B4AB2">
        <w:rPr>
          <w:rFonts w:ascii="Times New Roman" w:hAnsi="Times New Roman"/>
          <w:sz w:val="24"/>
        </w:rPr>
        <w:t>s</w:t>
      </w:r>
      <w:r w:rsidR="00775555">
        <w:rPr>
          <w:rFonts w:ascii="Times New Roman" w:hAnsi="Times New Roman"/>
          <w:sz w:val="24"/>
        </w:rPr>
        <w:t xml:space="preserve"> and corporations with average annual gross receipts of </w:t>
      </w:r>
      <w:r w:rsidR="004B4AB2">
        <w:rPr>
          <w:rFonts w:ascii="Times New Roman" w:hAnsi="Times New Roman"/>
          <w:sz w:val="24"/>
        </w:rPr>
        <w:t xml:space="preserve">not more than </w:t>
      </w:r>
      <w:r w:rsidR="00775555">
        <w:rPr>
          <w:rFonts w:ascii="Times New Roman" w:hAnsi="Times New Roman"/>
          <w:sz w:val="24"/>
        </w:rPr>
        <w:t>$5 million</w:t>
      </w:r>
      <w:r w:rsidR="004B4AB2">
        <w:rPr>
          <w:rFonts w:ascii="Times New Roman" w:hAnsi="Times New Roman"/>
          <w:sz w:val="24"/>
        </w:rPr>
        <w:t>.</w:t>
      </w:r>
    </w:p>
    <w:p w:rsidR="00875AF0" w:rsidRDefault="00875AF0" w:rsidP="002E04A8">
      <w:pPr>
        <w:pStyle w:val="mainanswerparagraph"/>
        <w:jc w:val="left"/>
        <w:rPr>
          <w:rFonts w:ascii="Times New Roman" w:hAnsi="Times New Roman"/>
          <w:sz w:val="24"/>
        </w:rPr>
      </w:pPr>
    </w:p>
    <w:p w:rsidR="00132826" w:rsidRDefault="00132826" w:rsidP="002E04A8">
      <w:pPr>
        <w:pStyle w:val="mainanswerparagraph"/>
        <w:jc w:val="left"/>
        <w:rPr>
          <w:rFonts w:ascii="Times New Roman" w:hAnsi="Times New Roman"/>
          <w:sz w:val="24"/>
        </w:rPr>
      </w:pPr>
    </w:p>
    <w:p w:rsidR="00DF40B6" w:rsidRDefault="00DF40B6" w:rsidP="002E04A8">
      <w:pPr>
        <w:keepNext/>
        <w:pBdr>
          <w:top w:val="double" w:sz="6" w:space="0" w:color="000000"/>
          <w:bottom w:val="double" w:sz="6" w:space="0" w:color="000000"/>
        </w:pBdr>
        <w:shd w:val="pct10" w:color="auto" w:fill="auto"/>
        <w:spacing w:line="240" w:lineRule="exact"/>
        <w:jc w:val="center"/>
        <w:rPr>
          <w:b/>
        </w:rPr>
      </w:pPr>
    </w:p>
    <w:p w:rsidR="00DF40B6" w:rsidRDefault="00DF40B6" w:rsidP="00DF7775">
      <w:pPr>
        <w:keepNext/>
        <w:pBdr>
          <w:top w:val="double" w:sz="6" w:space="0" w:color="000000"/>
          <w:bottom w:val="double" w:sz="6" w:space="0" w:color="000000"/>
        </w:pBdr>
        <w:shd w:val="pct10" w:color="auto" w:fill="auto"/>
        <w:spacing w:before="240" w:line="240" w:lineRule="exact"/>
        <w:jc w:val="center"/>
      </w:pPr>
      <w:r>
        <w:rPr>
          <w:b/>
          <w:position w:val="12"/>
        </w:rPr>
        <w:t>ADDITIONAL LECTURE RESOURCE</w:t>
      </w:r>
    </w:p>
    <w:p w:rsidR="00DF40B6" w:rsidRDefault="00DF40B6" w:rsidP="002E04A8">
      <w:pPr>
        <w:pStyle w:val="Subpartsanswer"/>
        <w:keepNext/>
        <w:rPr>
          <w:rFonts w:ascii="Times New Roman" w:hAnsi="Times New Roman"/>
          <w:sz w:val="24"/>
        </w:rPr>
      </w:pPr>
    </w:p>
    <w:p w:rsidR="00DF40B6" w:rsidRPr="00AA380C" w:rsidRDefault="00AA380C" w:rsidP="002E04A8">
      <w:pPr>
        <w:pStyle w:val="BodyText"/>
      </w:pPr>
      <w:proofErr w:type="gramStart"/>
      <w:r>
        <w:rPr>
          <w:b/>
        </w:rPr>
        <w:t xml:space="preserve">Related </w:t>
      </w:r>
      <w:r w:rsidR="00DB0827">
        <w:rPr>
          <w:b/>
        </w:rPr>
        <w:t>P</w:t>
      </w:r>
      <w:r>
        <w:rPr>
          <w:b/>
        </w:rPr>
        <w:t xml:space="preserve">arty </w:t>
      </w:r>
      <w:r w:rsidR="00DB0827">
        <w:rPr>
          <w:b/>
        </w:rPr>
        <w:t>L</w:t>
      </w:r>
      <w:r w:rsidR="00DF40B6" w:rsidRPr="00AA380C">
        <w:rPr>
          <w:b/>
        </w:rPr>
        <w:t>imitation</w:t>
      </w:r>
      <w:r w:rsidRPr="00AA380C">
        <w:t>.</w:t>
      </w:r>
      <w:proofErr w:type="gramEnd"/>
      <w:r w:rsidR="00DF40B6" w:rsidRPr="00AA380C">
        <w:t xml:space="preserve"> </w:t>
      </w:r>
      <w:r w:rsidRPr="00AA380C">
        <w:t xml:space="preserve">The § 267(a)(2) limitation </w:t>
      </w:r>
      <w:r w:rsidR="002574B4" w:rsidRPr="00AA380C">
        <w:t xml:space="preserve">on deducting </w:t>
      </w:r>
      <w:r w:rsidR="007E6CB1" w:rsidRPr="00AA380C">
        <w:t xml:space="preserve">accrued expense </w:t>
      </w:r>
      <w:r w:rsidR="002574B4" w:rsidRPr="00AA380C">
        <w:t xml:space="preserve">paid to </w:t>
      </w:r>
      <w:r w:rsidR="00DF40B6" w:rsidRPr="00AA380C">
        <w:t>related part</w:t>
      </w:r>
      <w:r w:rsidR="002574B4" w:rsidRPr="00AA380C">
        <w:t>ies</w:t>
      </w:r>
      <w:r w:rsidR="00DF40B6" w:rsidRPr="00AA380C">
        <w:t xml:space="preserve"> affects many closely held corporations, particularly those that are family owned. For purposes of the more-than-50% shareholder test, an individual is deemed to own the stock owned, directly or indirectly, by family members (i.e., siblings, spouse, ancestors, and lineal </w:t>
      </w:r>
      <w:proofErr w:type="spellStart"/>
      <w:r w:rsidR="00DF40B6" w:rsidRPr="00AA380C">
        <w:t>descendents</w:t>
      </w:r>
      <w:proofErr w:type="spellEnd"/>
      <w:r w:rsidR="00DF40B6" w:rsidRPr="00AA380C">
        <w:t xml:space="preserve">) </w:t>
      </w:r>
      <w:r w:rsidR="00465EFC">
        <w:t>[</w:t>
      </w:r>
      <w:r w:rsidR="00DF40B6" w:rsidRPr="00AA380C">
        <w:t>§ 267(c)]. When a corporation’s stock is only owned by family members, each shareholder will be a related party under the more-than-50% test. For many family-owned (accrual basis) corporations then, § 267(a</w:t>
      </w:r>
      <w:proofErr w:type="gramStart"/>
      <w:r w:rsidR="00DF40B6" w:rsidRPr="00AA380C">
        <w:t>)(</w:t>
      </w:r>
      <w:proofErr w:type="gramEnd"/>
      <w:r w:rsidR="00DF40B6" w:rsidRPr="00AA380C">
        <w:t>2) will affect the deductibility of many different types of accrued expenditures (e.g., salary, bonus, interest, rent, and lease).</w:t>
      </w:r>
    </w:p>
    <w:p w:rsidR="00DF40B6" w:rsidRPr="00927824" w:rsidRDefault="00DF40B6" w:rsidP="002E04A8">
      <w:pPr>
        <w:pStyle w:val="BodyText"/>
        <w:rPr>
          <w:spacing w:val="-4"/>
        </w:rPr>
      </w:pPr>
    </w:p>
    <w:p w:rsidR="00DF40B6" w:rsidRPr="00927824" w:rsidRDefault="00DF40B6" w:rsidP="002E04A8">
      <w:pPr>
        <w:pStyle w:val="answerblockparaessay"/>
        <w:tabs>
          <w:tab w:val="clear" w:pos="720"/>
        </w:tabs>
        <w:ind w:left="0"/>
        <w:rPr>
          <w:rFonts w:ascii="Times New Roman" w:hAnsi="Times New Roman"/>
          <w:spacing w:val="-4"/>
          <w:sz w:val="24"/>
          <w:szCs w:val="24"/>
        </w:rPr>
      </w:pPr>
      <w:proofErr w:type="gramStart"/>
      <w:r w:rsidRPr="00927824">
        <w:rPr>
          <w:rFonts w:ascii="Times New Roman" w:hAnsi="Times New Roman"/>
          <w:spacing w:val="-4"/>
          <w:sz w:val="24"/>
          <w:szCs w:val="24"/>
        </w:rPr>
        <w:t>Example.</w:t>
      </w:r>
      <w:proofErr w:type="gramEnd"/>
      <w:r w:rsidRPr="00927824">
        <w:rPr>
          <w:rFonts w:ascii="Times New Roman" w:hAnsi="Times New Roman"/>
          <w:spacing w:val="-4"/>
          <w:sz w:val="24"/>
          <w:szCs w:val="24"/>
        </w:rPr>
        <w:t xml:space="preserve"> Three brothers (cash basis, calendar year taxpayers) own all of the stock in Brown Corporation (accrual basis, calendar year taxpayer) and are its principal employees. After a particularly p</w:t>
      </w:r>
      <w:r w:rsidR="00132826">
        <w:rPr>
          <w:rFonts w:ascii="Times New Roman" w:hAnsi="Times New Roman"/>
          <w:spacing w:val="-4"/>
          <w:sz w:val="24"/>
          <w:szCs w:val="24"/>
        </w:rPr>
        <w:t>rofitable year, in December 20</w:t>
      </w:r>
      <w:r w:rsidR="008A206E">
        <w:rPr>
          <w:rFonts w:ascii="Times New Roman" w:hAnsi="Times New Roman"/>
          <w:spacing w:val="-4"/>
          <w:sz w:val="24"/>
          <w:szCs w:val="24"/>
        </w:rPr>
        <w:t>1</w:t>
      </w:r>
      <w:r w:rsidR="001F0E83">
        <w:rPr>
          <w:rFonts w:ascii="Times New Roman" w:hAnsi="Times New Roman"/>
          <w:spacing w:val="-4"/>
          <w:sz w:val="24"/>
          <w:szCs w:val="24"/>
        </w:rPr>
        <w:t>3</w:t>
      </w:r>
      <w:r w:rsidRPr="00927824">
        <w:rPr>
          <w:rFonts w:ascii="Times New Roman" w:hAnsi="Times New Roman"/>
          <w:spacing w:val="-4"/>
          <w:sz w:val="24"/>
          <w:szCs w:val="24"/>
        </w:rPr>
        <w:t>, Brown declares a bonus payable to each of its employees. Brown also accrues interest owed on amounts borrowed from its shareholders. The bonuses and interest are not paid until January 20</w:t>
      </w:r>
      <w:r w:rsidR="00132826">
        <w:rPr>
          <w:rFonts w:ascii="Times New Roman" w:hAnsi="Times New Roman"/>
          <w:spacing w:val="-4"/>
          <w:sz w:val="24"/>
          <w:szCs w:val="24"/>
        </w:rPr>
        <w:t>1</w:t>
      </w:r>
      <w:r w:rsidR="001F0E83">
        <w:rPr>
          <w:rFonts w:ascii="Times New Roman" w:hAnsi="Times New Roman"/>
          <w:spacing w:val="-4"/>
          <w:sz w:val="24"/>
          <w:szCs w:val="24"/>
        </w:rPr>
        <w:t>4</w:t>
      </w:r>
      <w:r w:rsidRPr="00927824">
        <w:rPr>
          <w:rFonts w:ascii="Times New Roman" w:hAnsi="Times New Roman"/>
          <w:spacing w:val="-4"/>
          <w:sz w:val="24"/>
          <w:szCs w:val="24"/>
        </w:rPr>
        <w:t>. Under the stock attribution rules of § 267, each of the brothers is deemed to own 100% of the stock of Brown. As a result, the bonuses attributable to the brothers and all of the interest are not deductible by Brown Corporation until 20</w:t>
      </w:r>
      <w:r w:rsidR="00132826">
        <w:rPr>
          <w:rFonts w:ascii="Times New Roman" w:hAnsi="Times New Roman"/>
          <w:spacing w:val="-4"/>
          <w:sz w:val="24"/>
          <w:szCs w:val="24"/>
        </w:rPr>
        <w:t>1</w:t>
      </w:r>
      <w:r w:rsidR="001F0E83">
        <w:rPr>
          <w:rFonts w:ascii="Times New Roman" w:hAnsi="Times New Roman"/>
          <w:spacing w:val="-4"/>
          <w:sz w:val="24"/>
          <w:szCs w:val="24"/>
        </w:rPr>
        <w:t>4</w:t>
      </w:r>
      <w:r w:rsidRPr="00927824">
        <w:rPr>
          <w:rFonts w:ascii="Times New Roman" w:hAnsi="Times New Roman"/>
          <w:spacing w:val="-4"/>
          <w:sz w:val="24"/>
          <w:szCs w:val="24"/>
        </w:rPr>
        <w:t>.</w:t>
      </w:r>
    </w:p>
    <w:p w:rsidR="00DF40B6" w:rsidRDefault="00DF40B6" w:rsidP="002E04A8">
      <w:pPr>
        <w:pBdr>
          <w:bottom w:val="double" w:sz="6" w:space="1" w:color="auto"/>
        </w:pBdr>
        <w:tabs>
          <w:tab w:val="right" w:pos="9720"/>
        </w:tabs>
        <w:spacing w:line="240" w:lineRule="exact"/>
        <w:jc w:val="both"/>
      </w:pPr>
      <w:r>
        <w:tab/>
      </w:r>
    </w:p>
    <w:p w:rsidR="00DF40B6" w:rsidRDefault="00DF40B6" w:rsidP="002E04A8">
      <w:pPr>
        <w:spacing w:line="240" w:lineRule="exact"/>
        <w:rPr>
          <w:b/>
        </w:rPr>
      </w:pPr>
    </w:p>
    <w:p w:rsidR="00775555" w:rsidRDefault="002A00CC" w:rsidP="002E04A8">
      <w:pPr>
        <w:pStyle w:val="mainanswerparagraph"/>
        <w:jc w:val="left"/>
        <w:rPr>
          <w:rFonts w:ascii="Times New Roman" w:hAnsi="Times New Roman"/>
          <w:b/>
          <w:sz w:val="24"/>
        </w:rPr>
      </w:pPr>
      <w:r>
        <w:rPr>
          <w:rFonts w:ascii="Times New Roman" w:hAnsi="Times New Roman"/>
          <w:b/>
          <w:sz w:val="24"/>
        </w:rPr>
        <w:t>Capital Gains and Losses</w:t>
      </w:r>
    </w:p>
    <w:p w:rsidR="00775555" w:rsidRDefault="00775555" w:rsidP="002E04A8">
      <w:pPr>
        <w:spacing w:line="240" w:lineRule="exact"/>
      </w:pPr>
    </w:p>
    <w:p w:rsidR="00775555" w:rsidRDefault="00173491" w:rsidP="002E04A8">
      <w:pPr>
        <w:pStyle w:val="mainanswerparagraph"/>
        <w:jc w:val="left"/>
        <w:rPr>
          <w:rFonts w:ascii="Times New Roman" w:hAnsi="Times New Roman"/>
          <w:sz w:val="24"/>
        </w:rPr>
      </w:pPr>
      <w:r>
        <w:rPr>
          <w:rFonts w:ascii="Times New Roman" w:hAnsi="Times New Roman"/>
          <w:sz w:val="24"/>
        </w:rPr>
        <w:t>14</w:t>
      </w:r>
      <w:r w:rsidR="00775555">
        <w:rPr>
          <w:rFonts w:ascii="Times New Roman" w:hAnsi="Times New Roman"/>
          <w:sz w:val="24"/>
        </w:rPr>
        <w:t>.</w:t>
      </w:r>
      <w:r w:rsidR="00775555">
        <w:rPr>
          <w:rFonts w:ascii="Times New Roman" w:hAnsi="Times New Roman"/>
          <w:sz w:val="24"/>
        </w:rPr>
        <w:tab/>
      </w:r>
      <w:r w:rsidR="00D14BA6">
        <w:rPr>
          <w:rFonts w:ascii="Times New Roman" w:hAnsi="Times New Roman"/>
          <w:sz w:val="24"/>
        </w:rPr>
        <w:t>D</w:t>
      </w:r>
      <w:r w:rsidR="00775555" w:rsidRPr="004B4AB2">
        <w:rPr>
          <w:rFonts w:ascii="Times New Roman" w:hAnsi="Times New Roman"/>
          <w:sz w:val="24"/>
        </w:rPr>
        <w:t>ifferences i</w:t>
      </w:r>
      <w:r w:rsidR="00775555">
        <w:rPr>
          <w:rFonts w:ascii="Times New Roman" w:hAnsi="Times New Roman"/>
          <w:sz w:val="24"/>
        </w:rPr>
        <w:t xml:space="preserve">n corporate and </w:t>
      </w:r>
      <w:r w:rsidR="008B3241">
        <w:rPr>
          <w:rFonts w:ascii="Times New Roman" w:hAnsi="Times New Roman"/>
          <w:sz w:val="24"/>
        </w:rPr>
        <w:t xml:space="preserve">individual taxpayer </w:t>
      </w:r>
      <w:r w:rsidR="00775555">
        <w:rPr>
          <w:rFonts w:ascii="Times New Roman" w:hAnsi="Times New Roman"/>
          <w:sz w:val="24"/>
        </w:rPr>
        <w:t xml:space="preserve">treatment of </w:t>
      </w:r>
      <w:r w:rsidR="00775555" w:rsidRPr="00D14BA6">
        <w:rPr>
          <w:rFonts w:ascii="Times New Roman" w:hAnsi="Times New Roman"/>
          <w:sz w:val="24"/>
        </w:rPr>
        <w:t>capital gains and losses</w:t>
      </w:r>
      <w:r w:rsidR="00D14BA6">
        <w:rPr>
          <w:rFonts w:ascii="Times New Roman" w:hAnsi="Times New Roman"/>
          <w:sz w:val="24"/>
        </w:rPr>
        <w:t>.</w:t>
      </w:r>
    </w:p>
    <w:p w:rsidR="00D14BA6" w:rsidRDefault="00D14BA6" w:rsidP="002E04A8">
      <w:pPr>
        <w:pStyle w:val="Subpartsanswer"/>
        <w:tabs>
          <w:tab w:val="clear" w:pos="1296"/>
          <w:tab w:val="left" w:pos="1440"/>
        </w:tabs>
        <w:ind w:left="1440" w:hanging="720"/>
        <w:jc w:val="left"/>
        <w:rPr>
          <w:rFonts w:ascii="Times New Roman" w:hAnsi="Times New Roman"/>
          <w:sz w:val="24"/>
        </w:rPr>
      </w:pPr>
    </w:p>
    <w:p w:rsidR="00775555" w:rsidRDefault="00775555" w:rsidP="002E04A8">
      <w:pPr>
        <w:pStyle w:val="Subpartsanswer"/>
        <w:tabs>
          <w:tab w:val="clear" w:pos="1296"/>
          <w:tab w:val="left" w:pos="1440"/>
        </w:tabs>
        <w:ind w:left="1440" w:hanging="720"/>
        <w:jc w:val="left"/>
        <w:rPr>
          <w:rFonts w:ascii="Times New Roman" w:hAnsi="Times New Roman"/>
          <w:sz w:val="24"/>
        </w:rPr>
      </w:pPr>
      <w:r>
        <w:rPr>
          <w:rFonts w:ascii="Times New Roman" w:hAnsi="Times New Roman"/>
          <w:sz w:val="24"/>
        </w:rPr>
        <w:t>a.</w:t>
      </w:r>
      <w:r>
        <w:rPr>
          <w:rFonts w:ascii="Times New Roman" w:hAnsi="Times New Roman"/>
          <w:sz w:val="24"/>
        </w:rPr>
        <w:tab/>
        <w:t>Net capital gains of corporations are not subject to lower rates, as are net capital gains of individuals.</w:t>
      </w:r>
    </w:p>
    <w:p w:rsidR="00C9110A" w:rsidRDefault="00C9110A" w:rsidP="002E04A8">
      <w:pPr>
        <w:pStyle w:val="Subpartsanswer"/>
        <w:tabs>
          <w:tab w:val="clear" w:pos="1296"/>
          <w:tab w:val="left" w:pos="1440"/>
        </w:tabs>
        <w:ind w:left="1440" w:hanging="720"/>
        <w:jc w:val="left"/>
        <w:rPr>
          <w:rFonts w:ascii="Times New Roman" w:hAnsi="Times New Roman"/>
          <w:sz w:val="24"/>
        </w:rPr>
      </w:pPr>
    </w:p>
    <w:p w:rsidR="00775555" w:rsidRDefault="00775555" w:rsidP="002E04A8">
      <w:pPr>
        <w:pStyle w:val="Subpartsanswer"/>
        <w:tabs>
          <w:tab w:val="clear" w:pos="1296"/>
          <w:tab w:val="left" w:pos="1440"/>
        </w:tabs>
        <w:ind w:left="1440" w:hanging="720"/>
        <w:jc w:val="left"/>
        <w:rPr>
          <w:rFonts w:ascii="Times New Roman" w:hAnsi="Times New Roman"/>
          <w:sz w:val="24"/>
        </w:rPr>
      </w:pPr>
      <w:r>
        <w:rPr>
          <w:rFonts w:ascii="Times New Roman" w:hAnsi="Times New Roman"/>
          <w:sz w:val="24"/>
        </w:rPr>
        <w:t>b.</w:t>
      </w:r>
      <w:r>
        <w:rPr>
          <w:rFonts w:ascii="Times New Roman" w:hAnsi="Times New Roman"/>
          <w:sz w:val="24"/>
        </w:rPr>
        <w:tab/>
        <w:t>Corporate capital losses may only offset capital gains</w:t>
      </w:r>
      <w:r w:rsidR="008B3241">
        <w:rPr>
          <w:rFonts w:ascii="Times New Roman" w:hAnsi="Times New Roman"/>
          <w:sz w:val="24"/>
        </w:rPr>
        <w:t xml:space="preserve"> while i</w:t>
      </w:r>
      <w:r w:rsidR="00D14BA6">
        <w:rPr>
          <w:rFonts w:ascii="Times New Roman" w:hAnsi="Times New Roman"/>
          <w:sz w:val="24"/>
        </w:rPr>
        <w:t>ndividuals may deduct up to $3,000 of losses in excess of capital gains.</w:t>
      </w:r>
    </w:p>
    <w:p w:rsidR="00775555" w:rsidRDefault="00775555" w:rsidP="002E04A8">
      <w:pPr>
        <w:pStyle w:val="Subpartsanswer"/>
        <w:tabs>
          <w:tab w:val="clear" w:pos="1296"/>
          <w:tab w:val="left" w:pos="1440"/>
        </w:tabs>
        <w:ind w:left="1440" w:hanging="720"/>
        <w:jc w:val="left"/>
        <w:rPr>
          <w:rFonts w:ascii="Times New Roman" w:hAnsi="Times New Roman"/>
          <w:sz w:val="24"/>
        </w:rPr>
      </w:pPr>
    </w:p>
    <w:p w:rsidR="00DA5643" w:rsidRDefault="00775555" w:rsidP="002D4CEF">
      <w:pPr>
        <w:pStyle w:val="Subpartsanswer"/>
        <w:tabs>
          <w:tab w:val="clear" w:pos="1296"/>
          <w:tab w:val="left" w:pos="1440"/>
        </w:tabs>
        <w:ind w:left="1440" w:hanging="720"/>
        <w:jc w:val="left"/>
        <w:rPr>
          <w:rFonts w:ascii="Times New Roman" w:hAnsi="Times New Roman"/>
          <w:sz w:val="24"/>
        </w:rPr>
      </w:pPr>
      <w:r>
        <w:rPr>
          <w:rFonts w:ascii="Times New Roman" w:hAnsi="Times New Roman"/>
          <w:sz w:val="24"/>
        </w:rPr>
        <w:t>c.</w:t>
      </w:r>
      <w:r>
        <w:rPr>
          <w:rFonts w:ascii="Times New Roman" w:hAnsi="Times New Roman"/>
          <w:sz w:val="24"/>
        </w:rPr>
        <w:tab/>
        <w:t xml:space="preserve">Excess </w:t>
      </w:r>
      <w:r w:rsidR="00D14BA6">
        <w:rPr>
          <w:rFonts w:ascii="Times New Roman" w:hAnsi="Times New Roman"/>
          <w:sz w:val="24"/>
        </w:rPr>
        <w:t xml:space="preserve">corporate </w:t>
      </w:r>
      <w:r>
        <w:rPr>
          <w:rFonts w:ascii="Times New Roman" w:hAnsi="Times New Roman"/>
          <w:sz w:val="24"/>
        </w:rPr>
        <w:t xml:space="preserve">capital losses are carried back </w:t>
      </w:r>
      <w:r w:rsidR="00D14BA6">
        <w:rPr>
          <w:rFonts w:ascii="Times New Roman" w:hAnsi="Times New Roman"/>
          <w:sz w:val="24"/>
        </w:rPr>
        <w:t xml:space="preserve">3 </w:t>
      </w:r>
      <w:r>
        <w:rPr>
          <w:rFonts w:ascii="Times New Roman" w:hAnsi="Times New Roman"/>
          <w:sz w:val="24"/>
        </w:rPr>
        <w:t xml:space="preserve">and forward </w:t>
      </w:r>
      <w:r w:rsidR="00D14BA6">
        <w:rPr>
          <w:rFonts w:ascii="Times New Roman" w:hAnsi="Times New Roman"/>
          <w:sz w:val="24"/>
        </w:rPr>
        <w:t>5</w:t>
      </w:r>
      <w:r>
        <w:rPr>
          <w:rFonts w:ascii="Times New Roman" w:hAnsi="Times New Roman"/>
          <w:sz w:val="24"/>
        </w:rPr>
        <w:t xml:space="preserve"> </w:t>
      </w:r>
      <w:r w:rsidR="00D14BA6">
        <w:rPr>
          <w:rFonts w:ascii="Times New Roman" w:hAnsi="Times New Roman"/>
          <w:sz w:val="24"/>
        </w:rPr>
        <w:t xml:space="preserve">years </w:t>
      </w:r>
      <w:r>
        <w:rPr>
          <w:rFonts w:ascii="Times New Roman" w:hAnsi="Times New Roman"/>
          <w:sz w:val="24"/>
        </w:rPr>
        <w:t>to offset capital gains, while capital losses of individuals are carried forward indefinitel</w:t>
      </w:r>
      <w:r w:rsidR="00D14BA6">
        <w:rPr>
          <w:rFonts w:ascii="Times New Roman" w:hAnsi="Times New Roman"/>
          <w:sz w:val="24"/>
        </w:rPr>
        <w:t>y.</w:t>
      </w:r>
      <w:r w:rsidR="00536955">
        <w:rPr>
          <w:rFonts w:ascii="Times New Roman" w:hAnsi="Times New Roman"/>
          <w:sz w:val="24"/>
        </w:rPr>
        <w:t xml:space="preserve"> </w:t>
      </w:r>
      <w:r w:rsidR="00D14BA6">
        <w:rPr>
          <w:rFonts w:ascii="Times New Roman" w:hAnsi="Times New Roman"/>
          <w:sz w:val="24"/>
        </w:rPr>
        <w:t xml:space="preserve">When </w:t>
      </w:r>
      <w:r w:rsidR="00D14BA6" w:rsidRPr="00D14BA6">
        <w:rPr>
          <w:rFonts w:ascii="Times New Roman" w:hAnsi="Times New Roman"/>
          <w:sz w:val="24"/>
        </w:rPr>
        <w:t>corporation</w:t>
      </w:r>
      <w:r w:rsidR="00D14BA6">
        <w:rPr>
          <w:rFonts w:ascii="Times New Roman" w:hAnsi="Times New Roman"/>
          <w:sz w:val="24"/>
        </w:rPr>
        <w:t>s c</w:t>
      </w:r>
      <w:r>
        <w:rPr>
          <w:rFonts w:ascii="Times New Roman" w:hAnsi="Times New Roman"/>
          <w:sz w:val="24"/>
        </w:rPr>
        <w:t>arry</w:t>
      </w:r>
      <w:r w:rsidR="00465EFC">
        <w:rPr>
          <w:rFonts w:ascii="Times New Roman" w:hAnsi="Times New Roman"/>
          <w:sz w:val="24"/>
        </w:rPr>
        <w:t xml:space="preserve"> </w:t>
      </w:r>
      <w:r>
        <w:rPr>
          <w:rFonts w:ascii="Times New Roman" w:hAnsi="Times New Roman"/>
          <w:sz w:val="24"/>
        </w:rPr>
        <w:t xml:space="preserve">over </w:t>
      </w:r>
      <w:r w:rsidR="00D14BA6">
        <w:rPr>
          <w:rFonts w:ascii="Times New Roman" w:hAnsi="Times New Roman"/>
          <w:sz w:val="24"/>
        </w:rPr>
        <w:t xml:space="preserve">capital losses, they </w:t>
      </w:r>
      <w:r w:rsidR="007A01E3">
        <w:rPr>
          <w:rFonts w:ascii="Times New Roman" w:hAnsi="Times New Roman"/>
          <w:sz w:val="24"/>
        </w:rPr>
        <w:t xml:space="preserve">are treated as </w:t>
      </w:r>
      <w:r w:rsidR="00D14BA6">
        <w:rPr>
          <w:rFonts w:ascii="Times New Roman" w:hAnsi="Times New Roman"/>
          <w:sz w:val="24"/>
        </w:rPr>
        <w:t>short</w:t>
      </w:r>
      <w:r w:rsidR="007479DD">
        <w:rPr>
          <w:rFonts w:ascii="Times New Roman" w:hAnsi="Times New Roman"/>
          <w:sz w:val="24"/>
        </w:rPr>
        <w:t xml:space="preserve"> </w:t>
      </w:r>
      <w:r w:rsidR="00D14BA6">
        <w:rPr>
          <w:rFonts w:ascii="Times New Roman" w:hAnsi="Times New Roman"/>
          <w:sz w:val="24"/>
        </w:rPr>
        <w:t>term</w:t>
      </w:r>
      <w:r>
        <w:rPr>
          <w:rFonts w:ascii="Times New Roman" w:hAnsi="Times New Roman"/>
          <w:sz w:val="24"/>
        </w:rPr>
        <w:t>.</w:t>
      </w:r>
      <w:r w:rsidR="00536955">
        <w:rPr>
          <w:rFonts w:ascii="Times New Roman" w:hAnsi="Times New Roman"/>
          <w:sz w:val="24"/>
        </w:rPr>
        <w:t xml:space="preserve"> </w:t>
      </w:r>
      <w:r>
        <w:rPr>
          <w:rFonts w:ascii="Times New Roman" w:hAnsi="Times New Roman"/>
          <w:sz w:val="24"/>
        </w:rPr>
        <w:t xml:space="preserve">For individuals, </w:t>
      </w:r>
      <w:r w:rsidR="00D14BA6">
        <w:rPr>
          <w:rFonts w:ascii="Times New Roman" w:hAnsi="Times New Roman"/>
          <w:sz w:val="24"/>
        </w:rPr>
        <w:t>capital losses</w:t>
      </w:r>
      <w:r>
        <w:rPr>
          <w:rFonts w:ascii="Times New Roman" w:hAnsi="Times New Roman"/>
          <w:sz w:val="24"/>
        </w:rPr>
        <w:t xml:space="preserve"> retain their original status as long</w:t>
      </w:r>
      <w:r w:rsidR="007479DD">
        <w:rPr>
          <w:rFonts w:ascii="Times New Roman" w:hAnsi="Times New Roman"/>
          <w:sz w:val="24"/>
        </w:rPr>
        <w:t xml:space="preserve"> </w:t>
      </w:r>
      <w:r>
        <w:rPr>
          <w:rFonts w:ascii="Times New Roman" w:hAnsi="Times New Roman"/>
          <w:sz w:val="24"/>
        </w:rPr>
        <w:t>term or short</w:t>
      </w:r>
      <w:r w:rsidR="007479DD">
        <w:rPr>
          <w:rFonts w:ascii="Times New Roman" w:hAnsi="Times New Roman"/>
          <w:sz w:val="24"/>
        </w:rPr>
        <w:t xml:space="preserve"> </w:t>
      </w:r>
      <w:r>
        <w:rPr>
          <w:rFonts w:ascii="Times New Roman" w:hAnsi="Times New Roman"/>
          <w:sz w:val="24"/>
        </w:rPr>
        <w:t>term.</w:t>
      </w:r>
    </w:p>
    <w:p w:rsidR="00FF46B8" w:rsidRDefault="00FF46B8" w:rsidP="00FF46B8">
      <w:pPr>
        <w:spacing w:line="240" w:lineRule="exact"/>
        <w:rPr>
          <w:b/>
        </w:rPr>
      </w:pPr>
    </w:p>
    <w:p w:rsidR="00AC5970" w:rsidRDefault="00AC5970" w:rsidP="00AC5970">
      <w:pPr>
        <w:pStyle w:val="mainanswerparagraph"/>
        <w:jc w:val="left"/>
        <w:rPr>
          <w:rFonts w:ascii="Times New Roman" w:hAnsi="Times New Roman"/>
          <w:sz w:val="24"/>
        </w:rPr>
      </w:pPr>
    </w:p>
    <w:p w:rsidR="00AC5970" w:rsidRDefault="00AC5970" w:rsidP="00AC5970">
      <w:pPr>
        <w:keepNext/>
        <w:pBdr>
          <w:top w:val="double" w:sz="6" w:space="0" w:color="000000"/>
          <w:bottom w:val="double" w:sz="6" w:space="0" w:color="000000"/>
        </w:pBdr>
        <w:shd w:val="pct10" w:color="auto" w:fill="auto"/>
        <w:spacing w:line="240" w:lineRule="exact"/>
        <w:jc w:val="center"/>
        <w:rPr>
          <w:b/>
        </w:rPr>
      </w:pPr>
    </w:p>
    <w:p w:rsidR="00AC5970" w:rsidRDefault="00AC5970" w:rsidP="00DF7775">
      <w:pPr>
        <w:keepNext/>
        <w:pBdr>
          <w:top w:val="double" w:sz="6" w:space="0" w:color="000000"/>
          <w:bottom w:val="double" w:sz="6" w:space="0" w:color="000000"/>
        </w:pBdr>
        <w:shd w:val="pct10" w:color="auto" w:fill="auto"/>
        <w:spacing w:before="240" w:line="240" w:lineRule="exact"/>
        <w:jc w:val="center"/>
      </w:pPr>
      <w:r>
        <w:rPr>
          <w:b/>
          <w:position w:val="12"/>
        </w:rPr>
        <w:t>ETHICS &amp; EQUITY</w:t>
      </w:r>
    </w:p>
    <w:p w:rsidR="00AC5970" w:rsidRDefault="00AC5970" w:rsidP="00AC5970">
      <w:pPr>
        <w:pStyle w:val="Subpartsanswer"/>
        <w:keepNext/>
        <w:rPr>
          <w:rFonts w:ascii="Times New Roman" w:hAnsi="Times New Roman"/>
          <w:sz w:val="24"/>
        </w:rPr>
      </w:pPr>
    </w:p>
    <w:p w:rsidR="00AC5970" w:rsidRDefault="00AC5970" w:rsidP="00AC5970">
      <w:pPr>
        <w:pStyle w:val="mainanswerparagraph"/>
        <w:tabs>
          <w:tab w:val="left" w:pos="1260"/>
        </w:tabs>
        <w:spacing w:line="240" w:lineRule="auto"/>
        <w:ind w:left="0" w:firstLine="0"/>
        <w:outlineLvl w:val="0"/>
        <w:rPr>
          <w:rFonts w:ascii="Times New Roman" w:hAnsi="Times New Roman"/>
          <w:sz w:val="24"/>
          <w:szCs w:val="24"/>
        </w:rPr>
      </w:pPr>
      <w:r>
        <w:rPr>
          <w:rFonts w:ascii="Times New Roman" w:hAnsi="Times New Roman"/>
          <w:b/>
          <w:sz w:val="24"/>
          <w:szCs w:val="24"/>
        </w:rPr>
        <w:t xml:space="preserve">A Motive that Wins! </w:t>
      </w:r>
      <w:r w:rsidRPr="00454CF1">
        <w:rPr>
          <w:rFonts w:ascii="Times New Roman" w:hAnsi="Times New Roman"/>
          <w:sz w:val="24"/>
          <w:szCs w:val="24"/>
        </w:rPr>
        <w:t>(p. 2-12)</w:t>
      </w:r>
      <w:r>
        <w:rPr>
          <w:rFonts w:ascii="Times New Roman" w:hAnsi="Times New Roman"/>
          <w:b/>
          <w:sz w:val="24"/>
          <w:szCs w:val="24"/>
        </w:rPr>
        <w:t>.</w:t>
      </w:r>
      <w:r w:rsidRPr="00454CF1">
        <w:rPr>
          <w:rFonts w:ascii="Times New Roman" w:hAnsi="Times New Roman"/>
          <w:b/>
          <w:sz w:val="24"/>
          <w:szCs w:val="24"/>
        </w:rPr>
        <w:t xml:space="preserve">  </w:t>
      </w:r>
      <w:r>
        <w:rPr>
          <w:rFonts w:ascii="Times New Roman" w:hAnsi="Times New Roman"/>
          <w:b/>
          <w:sz w:val="24"/>
          <w:szCs w:val="24"/>
        </w:rPr>
        <w:t xml:space="preserve"> </w:t>
      </w:r>
      <w:r>
        <w:rPr>
          <w:rFonts w:ascii="Times New Roman" w:hAnsi="Times New Roman"/>
          <w:sz w:val="24"/>
          <w:szCs w:val="24"/>
        </w:rPr>
        <w:t>The key issue surrounding the tax treatment of the loss is whether the loss is a capital loss (the land was held for investment) or § 1231 loss (the land was used in trade or business). A capital loss would be subject to the capital loss limitation applicable to corporations, but a § 1231 loss would result in ordinary loss treatment. Every effort should be made by Canary to establish that its original motive for acquiring the land was for business use (i.e., plant expansion) and that such motive did not later change. Supporting documentation should include board of directors’ minutes demonstrating intent of the purchase and plant construction plans (e.g., architectural plans, specifications) and plausible reasons why the expansion was not carried out.</w:t>
      </w:r>
    </w:p>
    <w:p w:rsidR="00AC5970" w:rsidRDefault="00AC5970" w:rsidP="00AC5970">
      <w:pPr>
        <w:pBdr>
          <w:bottom w:val="double" w:sz="6" w:space="1" w:color="auto"/>
        </w:pBdr>
        <w:tabs>
          <w:tab w:val="right" w:pos="9720"/>
        </w:tabs>
        <w:spacing w:line="240" w:lineRule="exact"/>
        <w:jc w:val="both"/>
      </w:pPr>
      <w:r>
        <w:tab/>
      </w:r>
    </w:p>
    <w:p w:rsidR="00AC5970" w:rsidRDefault="00AC5970" w:rsidP="00AC5970">
      <w:pPr>
        <w:spacing w:line="240" w:lineRule="exact"/>
        <w:rPr>
          <w:b/>
        </w:rPr>
      </w:pPr>
    </w:p>
    <w:p w:rsidR="00DA5643" w:rsidRDefault="00DA5643" w:rsidP="00DA5643">
      <w:pPr>
        <w:tabs>
          <w:tab w:val="left" w:pos="0"/>
        </w:tabs>
        <w:spacing w:line="240" w:lineRule="exact"/>
        <w:jc w:val="both"/>
        <w:rPr>
          <w:b/>
        </w:rPr>
      </w:pPr>
      <w:r w:rsidRPr="004325DC">
        <w:rPr>
          <w:b/>
        </w:rPr>
        <w:t>Recapture of Depreciation</w:t>
      </w:r>
    </w:p>
    <w:p w:rsidR="00DA5643" w:rsidRPr="004325DC" w:rsidRDefault="00DA5643" w:rsidP="00DA5643">
      <w:pPr>
        <w:tabs>
          <w:tab w:val="left" w:pos="0"/>
        </w:tabs>
        <w:spacing w:line="240" w:lineRule="exact"/>
        <w:jc w:val="both"/>
        <w:rPr>
          <w:b/>
        </w:rPr>
      </w:pPr>
    </w:p>
    <w:p w:rsidR="00DA5643" w:rsidRDefault="00DA5643" w:rsidP="00DA5643">
      <w:pPr>
        <w:tabs>
          <w:tab w:val="left" w:pos="720"/>
        </w:tabs>
        <w:spacing w:line="240" w:lineRule="exact"/>
        <w:ind w:left="720" w:hanging="720"/>
        <w:jc w:val="both"/>
      </w:pPr>
      <w:r>
        <w:t>15.</w:t>
      </w:r>
      <w:r>
        <w:tab/>
        <w:t xml:space="preserve">The § 291 amount is treated as additional § 1250 depreciation recapture.  The result is a </w:t>
      </w:r>
      <w:proofErr w:type="spellStart"/>
      <w:r>
        <w:t>recharacterization</w:t>
      </w:r>
      <w:proofErr w:type="spellEnd"/>
      <w:r>
        <w:t xml:space="preserve"> of what would otherwise be § 1231 gain as ordinary income.   Corporate taxpayers do not receive a preferential tax rate on long-term capital gains (e.g., a net § 1231 gain), but the </w:t>
      </w:r>
      <w:proofErr w:type="spellStart"/>
      <w:r>
        <w:t>recharacterization</w:t>
      </w:r>
      <w:proofErr w:type="spellEnd"/>
      <w:r>
        <w:t xml:space="preserve"> might reduce a corporation’s ability to utilize capital losses in the current year. </w:t>
      </w:r>
    </w:p>
    <w:p w:rsidR="00DA5643" w:rsidRDefault="00DA5643" w:rsidP="002E04A8">
      <w:pPr>
        <w:spacing w:line="240" w:lineRule="exact"/>
        <w:rPr>
          <w:b/>
        </w:rPr>
      </w:pPr>
    </w:p>
    <w:p w:rsidR="00775555" w:rsidRDefault="002A00CC" w:rsidP="002E04A8">
      <w:pPr>
        <w:spacing w:line="240" w:lineRule="exact"/>
        <w:rPr>
          <w:b/>
        </w:rPr>
      </w:pPr>
      <w:r>
        <w:rPr>
          <w:b/>
        </w:rPr>
        <w:t>Passive Losses</w:t>
      </w:r>
    </w:p>
    <w:p w:rsidR="00775555" w:rsidRDefault="00775555" w:rsidP="002E04A8">
      <w:pPr>
        <w:spacing w:line="240" w:lineRule="exact"/>
      </w:pPr>
    </w:p>
    <w:p w:rsidR="00775555" w:rsidRDefault="00173491" w:rsidP="002E04A8">
      <w:pPr>
        <w:pStyle w:val="mainanswerparagraph"/>
        <w:jc w:val="left"/>
        <w:rPr>
          <w:rFonts w:ascii="Times New Roman" w:hAnsi="Times New Roman"/>
          <w:sz w:val="24"/>
        </w:rPr>
      </w:pPr>
      <w:r>
        <w:rPr>
          <w:rFonts w:ascii="Times New Roman" w:hAnsi="Times New Roman"/>
          <w:sz w:val="24"/>
        </w:rPr>
        <w:t>1</w:t>
      </w:r>
      <w:r w:rsidR="00DA5643">
        <w:rPr>
          <w:rFonts w:ascii="Times New Roman" w:hAnsi="Times New Roman"/>
          <w:sz w:val="24"/>
        </w:rPr>
        <w:t>6</w:t>
      </w:r>
      <w:r w:rsidR="00775555">
        <w:rPr>
          <w:rFonts w:ascii="Times New Roman" w:hAnsi="Times New Roman"/>
          <w:sz w:val="24"/>
        </w:rPr>
        <w:t>.</w:t>
      </w:r>
      <w:r w:rsidR="00775555">
        <w:rPr>
          <w:rFonts w:ascii="Times New Roman" w:hAnsi="Times New Roman"/>
          <w:sz w:val="24"/>
        </w:rPr>
        <w:tab/>
      </w:r>
      <w:r w:rsidR="008D7E6A">
        <w:rPr>
          <w:rFonts w:ascii="Times New Roman" w:hAnsi="Times New Roman"/>
          <w:sz w:val="24"/>
        </w:rPr>
        <w:t>P</w:t>
      </w:r>
      <w:r w:rsidR="00775555">
        <w:rPr>
          <w:rFonts w:ascii="Times New Roman" w:hAnsi="Times New Roman"/>
          <w:sz w:val="24"/>
        </w:rPr>
        <w:t xml:space="preserve">assive loss limitations apply to closely </w:t>
      </w:r>
      <w:proofErr w:type="gramStart"/>
      <w:r w:rsidR="00775555">
        <w:rPr>
          <w:rFonts w:ascii="Times New Roman" w:hAnsi="Times New Roman"/>
          <w:sz w:val="24"/>
        </w:rPr>
        <w:t>held</w:t>
      </w:r>
      <w:proofErr w:type="gramEnd"/>
      <w:r w:rsidR="00775555">
        <w:rPr>
          <w:rFonts w:ascii="Times New Roman" w:hAnsi="Times New Roman"/>
          <w:sz w:val="24"/>
        </w:rPr>
        <w:t xml:space="preserve"> C corporations and personal service corporations (PSCs). However, closely held C corporations may offset passive losses against active income.</w:t>
      </w:r>
    </w:p>
    <w:p w:rsidR="00132826" w:rsidRDefault="00132826" w:rsidP="002E04A8">
      <w:pPr>
        <w:pStyle w:val="mainanswerparagraph"/>
        <w:jc w:val="left"/>
        <w:rPr>
          <w:rFonts w:ascii="Times New Roman" w:hAnsi="Times New Roman"/>
          <w:b/>
          <w:sz w:val="24"/>
          <w:szCs w:val="24"/>
        </w:rPr>
      </w:pPr>
    </w:p>
    <w:p w:rsidR="00905474" w:rsidRPr="005932A9" w:rsidRDefault="00905474" w:rsidP="00684849">
      <w:pPr>
        <w:pStyle w:val="mainanswerparagraph"/>
        <w:keepNext/>
        <w:jc w:val="left"/>
        <w:rPr>
          <w:rFonts w:ascii="Times New Roman" w:hAnsi="Times New Roman"/>
          <w:b/>
          <w:sz w:val="24"/>
          <w:szCs w:val="24"/>
        </w:rPr>
      </w:pPr>
      <w:r w:rsidRPr="005932A9">
        <w:rPr>
          <w:rFonts w:ascii="Times New Roman" w:hAnsi="Times New Roman"/>
          <w:b/>
          <w:sz w:val="24"/>
          <w:szCs w:val="24"/>
        </w:rPr>
        <w:t>Charitable Contributions</w:t>
      </w:r>
    </w:p>
    <w:p w:rsidR="00905474" w:rsidRPr="005932A9" w:rsidRDefault="00905474" w:rsidP="00684849">
      <w:pPr>
        <w:keepNext/>
        <w:spacing w:line="240" w:lineRule="exact"/>
      </w:pPr>
    </w:p>
    <w:p w:rsidR="00ED4A89" w:rsidRDefault="00536955" w:rsidP="00684849">
      <w:pPr>
        <w:pStyle w:val="mainanswerparagraph"/>
        <w:keepNext/>
        <w:jc w:val="left"/>
        <w:rPr>
          <w:rFonts w:ascii="Times New Roman" w:hAnsi="Times New Roman"/>
          <w:sz w:val="24"/>
          <w:szCs w:val="24"/>
        </w:rPr>
      </w:pPr>
      <w:r>
        <w:rPr>
          <w:rFonts w:ascii="Times New Roman" w:hAnsi="Times New Roman"/>
          <w:sz w:val="24"/>
          <w:szCs w:val="24"/>
        </w:rPr>
        <w:t>1</w:t>
      </w:r>
      <w:r w:rsidR="002D4CEF">
        <w:rPr>
          <w:rFonts w:ascii="Times New Roman" w:hAnsi="Times New Roman"/>
          <w:sz w:val="24"/>
          <w:szCs w:val="24"/>
        </w:rPr>
        <w:t>7</w:t>
      </w:r>
      <w:r w:rsidR="00905474" w:rsidRPr="005932A9">
        <w:rPr>
          <w:rFonts w:ascii="Times New Roman" w:hAnsi="Times New Roman"/>
          <w:sz w:val="24"/>
          <w:szCs w:val="24"/>
        </w:rPr>
        <w:t>.</w:t>
      </w:r>
      <w:r w:rsidR="00905474" w:rsidRPr="005932A9">
        <w:rPr>
          <w:rFonts w:ascii="Times New Roman" w:hAnsi="Times New Roman"/>
          <w:sz w:val="24"/>
          <w:szCs w:val="24"/>
        </w:rPr>
        <w:tab/>
      </w:r>
      <w:r w:rsidR="00905474" w:rsidRPr="00905474">
        <w:rPr>
          <w:rFonts w:ascii="Times New Roman" w:hAnsi="Times New Roman"/>
          <w:sz w:val="24"/>
          <w:szCs w:val="24"/>
        </w:rPr>
        <w:t>Corporations are subject to limitations on their charitable contributions.</w:t>
      </w:r>
    </w:p>
    <w:p w:rsidR="00905474" w:rsidRPr="00905474" w:rsidRDefault="00905474" w:rsidP="002E04A8">
      <w:pPr>
        <w:pStyle w:val="mainanswerparagraph"/>
        <w:jc w:val="left"/>
        <w:rPr>
          <w:rFonts w:ascii="Times New Roman" w:hAnsi="Times New Roman"/>
          <w:sz w:val="24"/>
          <w:szCs w:val="24"/>
        </w:rPr>
      </w:pPr>
      <w:r w:rsidRPr="00905474">
        <w:rPr>
          <w:rFonts w:ascii="Times New Roman" w:hAnsi="Times New Roman"/>
          <w:sz w:val="24"/>
          <w:szCs w:val="24"/>
        </w:rPr>
        <w:t xml:space="preserve"> </w:t>
      </w:r>
    </w:p>
    <w:p w:rsidR="00ED4A89" w:rsidRPr="00527FF2" w:rsidRDefault="00ED4A89" w:rsidP="002E04A8">
      <w:pPr>
        <w:pStyle w:val="Subpartsanswer"/>
        <w:tabs>
          <w:tab w:val="clear" w:pos="1296"/>
          <w:tab w:val="left" w:pos="1440"/>
        </w:tabs>
        <w:ind w:left="1440" w:hanging="720"/>
        <w:jc w:val="left"/>
        <w:rPr>
          <w:rFonts w:ascii="Times New Roman" w:hAnsi="Times New Roman"/>
          <w:sz w:val="24"/>
        </w:rPr>
      </w:pPr>
      <w:r>
        <w:rPr>
          <w:rFonts w:ascii="Times New Roman" w:hAnsi="Times New Roman"/>
          <w:sz w:val="24"/>
        </w:rPr>
        <w:t>a</w:t>
      </w:r>
      <w:r w:rsidRPr="00527FF2">
        <w:rPr>
          <w:rFonts w:ascii="Times New Roman" w:hAnsi="Times New Roman"/>
          <w:sz w:val="24"/>
        </w:rPr>
        <w:t>.</w:t>
      </w:r>
      <w:r w:rsidRPr="00527FF2">
        <w:rPr>
          <w:rFonts w:ascii="Times New Roman" w:hAnsi="Times New Roman"/>
          <w:sz w:val="24"/>
        </w:rPr>
        <w:tab/>
        <w:t>For accrual basis corporations, there is an exception to the rule that deductions for charitable contributions are allowed only for the year in which payment is made.</w:t>
      </w:r>
      <w:r>
        <w:rPr>
          <w:rFonts w:ascii="Times New Roman" w:hAnsi="Times New Roman"/>
          <w:sz w:val="24"/>
        </w:rPr>
        <w:t xml:space="preserve"> </w:t>
      </w:r>
      <w:r w:rsidR="008D7E6A">
        <w:rPr>
          <w:rFonts w:ascii="Times New Roman" w:hAnsi="Times New Roman"/>
          <w:sz w:val="24"/>
        </w:rPr>
        <w:t>C</w:t>
      </w:r>
      <w:r w:rsidRPr="00527FF2">
        <w:rPr>
          <w:rFonts w:ascii="Times New Roman" w:hAnsi="Times New Roman"/>
          <w:sz w:val="24"/>
        </w:rPr>
        <w:t>orporation</w:t>
      </w:r>
      <w:r w:rsidR="008D7E6A">
        <w:rPr>
          <w:rFonts w:ascii="Times New Roman" w:hAnsi="Times New Roman"/>
          <w:sz w:val="24"/>
        </w:rPr>
        <w:t>s</w:t>
      </w:r>
      <w:r w:rsidRPr="00527FF2">
        <w:rPr>
          <w:rFonts w:ascii="Times New Roman" w:hAnsi="Times New Roman"/>
          <w:sz w:val="24"/>
        </w:rPr>
        <w:t xml:space="preserve"> may deduct charitable contribution</w:t>
      </w:r>
      <w:r w:rsidR="008D7E6A">
        <w:rPr>
          <w:rFonts w:ascii="Times New Roman" w:hAnsi="Times New Roman"/>
          <w:sz w:val="24"/>
        </w:rPr>
        <w:t>s</w:t>
      </w:r>
      <w:r w:rsidRPr="00527FF2">
        <w:rPr>
          <w:rFonts w:ascii="Times New Roman" w:hAnsi="Times New Roman"/>
          <w:sz w:val="24"/>
        </w:rPr>
        <w:t xml:space="preserve"> in the year preceding payment if the contribution is authorized by the board of directors by the end of that year and is paid on or before the 15th day of the third month of the next year.</w:t>
      </w:r>
    </w:p>
    <w:p w:rsidR="004E2766" w:rsidRDefault="004E2766" w:rsidP="002E04A8">
      <w:pPr>
        <w:pStyle w:val="Subpartsanswer"/>
        <w:tabs>
          <w:tab w:val="clear" w:pos="1296"/>
        </w:tabs>
        <w:ind w:left="1440" w:hanging="720"/>
        <w:jc w:val="left"/>
        <w:rPr>
          <w:rFonts w:ascii="Times New Roman" w:hAnsi="Times New Roman"/>
          <w:sz w:val="24"/>
          <w:szCs w:val="24"/>
        </w:rPr>
      </w:pPr>
    </w:p>
    <w:p w:rsidR="0061556C" w:rsidRPr="00527FF2" w:rsidRDefault="0061556C" w:rsidP="002E04A8">
      <w:pPr>
        <w:pStyle w:val="Subpartsanswer"/>
        <w:tabs>
          <w:tab w:val="clear" w:pos="1296"/>
          <w:tab w:val="left" w:pos="1440"/>
        </w:tabs>
        <w:ind w:left="1440" w:hanging="720"/>
        <w:jc w:val="left"/>
        <w:rPr>
          <w:rFonts w:ascii="Times New Roman" w:hAnsi="Times New Roman"/>
          <w:sz w:val="24"/>
        </w:rPr>
      </w:pPr>
      <w:r>
        <w:rPr>
          <w:rFonts w:ascii="Times New Roman" w:hAnsi="Times New Roman"/>
          <w:sz w:val="24"/>
        </w:rPr>
        <w:t>b</w:t>
      </w:r>
      <w:r w:rsidRPr="00527FF2">
        <w:rPr>
          <w:rFonts w:ascii="Times New Roman" w:hAnsi="Times New Roman"/>
          <w:sz w:val="24"/>
        </w:rPr>
        <w:t>.</w:t>
      </w:r>
      <w:r w:rsidRPr="00527FF2">
        <w:rPr>
          <w:rFonts w:ascii="Times New Roman" w:hAnsi="Times New Roman"/>
          <w:sz w:val="24"/>
        </w:rPr>
        <w:tab/>
      </w:r>
      <w:r>
        <w:rPr>
          <w:rFonts w:ascii="Times New Roman" w:hAnsi="Times New Roman"/>
          <w:sz w:val="24"/>
        </w:rPr>
        <w:t>G</w:t>
      </w:r>
      <w:r w:rsidRPr="00527FF2">
        <w:rPr>
          <w:rFonts w:ascii="Times New Roman" w:hAnsi="Times New Roman"/>
          <w:sz w:val="24"/>
        </w:rPr>
        <w:t>eneral rule that the amount of the deduction is fair market value on the date of the donation for long-term capital gain property and adjusted basis (or fair market value</w:t>
      </w:r>
      <w:r w:rsidR="00635993">
        <w:rPr>
          <w:rFonts w:ascii="Times New Roman" w:hAnsi="Times New Roman"/>
          <w:sz w:val="24"/>
        </w:rPr>
        <w:t>, if lower</w:t>
      </w:r>
      <w:r w:rsidRPr="00527FF2">
        <w:rPr>
          <w:rFonts w:ascii="Times New Roman" w:hAnsi="Times New Roman"/>
          <w:sz w:val="24"/>
        </w:rPr>
        <w:t>) for ordinary income</w:t>
      </w:r>
      <w:r w:rsidR="00603D7C">
        <w:rPr>
          <w:rFonts w:ascii="Times New Roman" w:hAnsi="Times New Roman"/>
          <w:sz w:val="24"/>
        </w:rPr>
        <w:t xml:space="preserve"> </w:t>
      </w:r>
      <w:r w:rsidRPr="00527FF2">
        <w:rPr>
          <w:rFonts w:ascii="Times New Roman" w:hAnsi="Times New Roman"/>
          <w:sz w:val="24"/>
        </w:rPr>
        <w:t>property applies to</w:t>
      </w:r>
      <w:r w:rsidR="00536955">
        <w:rPr>
          <w:rFonts w:ascii="Times New Roman" w:hAnsi="Times New Roman"/>
          <w:sz w:val="24"/>
        </w:rPr>
        <w:t xml:space="preserve"> </w:t>
      </w:r>
      <w:r w:rsidRPr="00527FF2">
        <w:rPr>
          <w:rFonts w:ascii="Times New Roman" w:hAnsi="Times New Roman"/>
          <w:sz w:val="24"/>
        </w:rPr>
        <w:t>corporations.</w:t>
      </w:r>
      <w:r w:rsidR="00830255">
        <w:rPr>
          <w:rFonts w:ascii="Times New Roman" w:hAnsi="Times New Roman"/>
          <w:sz w:val="24"/>
        </w:rPr>
        <w:t xml:space="preserve"> However, there are exceptions to the general rule.</w:t>
      </w:r>
    </w:p>
    <w:p w:rsidR="0061556C" w:rsidRDefault="0061556C" w:rsidP="002E04A8">
      <w:pPr>
        <w:pStyle w:val="Subpartsanswer"/>
        <w:tabs>
          <w:tab w:val="clear" w:pos="1296"/>
        </w:tabs>
        <w:ind w:left="1440" w:hanging="720"/>
        <w:jc w:val="left"/>
        <w:rPr>
          <w:rFonts w:ascii="Times New Roman" w:hAnsi="Times New Roman"/>
          <w:sz w:val="24"/>
        </w:rPr>
      </w:pPr>
    </w:p>
    <w:p w:rsidR="004E2766" w:rsidRPr="00C40E20" w:rsidRDefault="00830255" w:rsidP="00CD3C31">
      <w:pPr>
        <w:pStyle w:val="Subpartsanswer"/>
        <w:tabs>
          <w:tab w:val="clear" w:pos="1296"/>
        </w:tabs>
        <w:ind w:left="2160" w:hanging="720"/>
        <w:jc w:val="left"/>
        <w:rPr>
          <w:rFonts w:ascii="Times New Roman" w:hAnsi="Times New Roman"/>
          <w:spacing w:val="-4"/>
          <w:sz w:val="24"/>
          <w:szCs w:val="24"/>
        </w:rPr>
      </w:pPr>
      <w:r>
        <w:rPr>
          <w:rFonts w:ascii="Times New Roman" w:hAnsi="Times New Roman"/>
          <w:sz w:val="24"/>
        </w:rPr>
        <w:t>(1)</w:t>
      </w:r>
      <w:r w:rsidR="00527FF2">
        <w:rPr>
          <w:rFonts w:ascii="Times New Roman" w:hAnsi="Times New Roman"/>
          <w:sz w:val="24"/>
        </w:rPr>
        <w:tab/>
      </w:r>
      <w:r w:rsidR="00CD3347" w:rsidRPr="00C40E20">
        <w:rPr>
          <w:rFonts w:ascii="Times New Roman" w:hAnsi="Times New Roman"/>
          <w:spacing w:val="-4"/>
          <w:sz w:val="24"/>
        </w:rPr>
        <w:t>L</w:t>
      </w:r>
      <w:r w:rsidR="004E2766" w:rsidRPr="00C40E20">
        <w:rPr>
          <w:rFonts w:ascii="Times New Roman" w:hAnsi="Times New Roman"/>
          <w:spacing w:val="-4"/>
          <w:sz w:val="24"/>
        </w:rPr>
        <w:t xml:space="preserve">ong-term </w:t>
      </w:r>
      <w:r w:rsidR="000D454E" w:rsidRPr="00C40E20">
        <w:rPr>
          <w:rFonts w:ascii="Times New Roman" w:hAnsi="Times New Roman"/>
          <w:spacing w:val="-4"/>
          <w:sz w:val="24"/>
        </w:rPr>
        <w:t xml:space="preserve">(held more than 1 year) </w:t>
      </w:r>
      <w:r w:rsidR="004E2766" w:rsidRPr="00C40E20">
        <w:rPr>
          <w:rFonts w:ascii="Times New Roman" w:hAnsi="Times New Roman"/>
          <w:spacing w:val="-4"/>
          <w:sz w:val="24"/>
        </w:rPr>
        <w:t xml:space="preserve">capital gain property </w:t>
      </w:r>
      <w:r w:rsidR="00CD3347" w:rsidRPr="00C40E20">
        <w:rPr>
          <w:rFonts w:ascii="Times New Roman" w:hAnsi="Times New Roman"/>
          <w:spacing w:val="-4"/>
          <w:sz w:val="24"/>
        </w:rPr>
        <w:t xml:space="preserve">contributed </w:t>
      </w:r>
      <w:r w:rsidR="004E2766" w:rsidRPr="00C40E20">
        <w:rPr>
          <w:rFonts w:ascii="Times New Roman" w:hAnsi="Times New Roman"/>
          <w:spacing w:val="-4"/>
          <w:sz w:val="24"/>
        </w:rPr>
        <w:t>to certain types of private non</w:t>
      </w:r>
      <w:r w:rsidR="004E2766" w:rsidRPr="00C40E20">
        <w:rPr>
          <w:rFonts w:ascii="Times New Roman" w:hAnsi="Times New Roman"/>
          <w:spacing w:val="-4"/>
          <w:sz w:val="24"/>
        </w:rPr>
        <w:softHyphen/>
        <w:t xml:space="preserve">operating foundations and contributions of </w:t>
      </w:r>
      <w:r w:rsidR="004E2766" w:rsidRPr="00C40E20">
        <w:rPr>
          <w:rFonts w:ascii="Times New Roman" w:hAnsi="Times New Roman"/>
          <w:spacing w:val="-4"/>
          <w:sz w:val="24"/>
          <w:szCs w:val="24"/>
        </w:rPr>
        <w:t xml:space="preserve">tangible personal property that are </w:t>
      </w:r>
      <w:r w:rsidR="00CD3347" w:rsidRPr="00C40E20">
        <w:rPr>
          <w:rFonts w:ascii="Times New Roman" w:hAnsi="Times New Roman"/>
          <w:spacing w:val="-4"/>
          <w:sz w:val="24"/>
          <w:szCs w:val="24"/>
        </w:rPr>
        <w:t>not u</w:t>
      </w:r>
      <w:r w:rsidR="004E2766" w:rsidRPr="00C40E20">
        <w:rPr>
          <w:rFonts w:ascii="Times New Roman" w:hAnsi="Times New Roman"/>
          <w:spacing w:val="-4"/>
          <w:sz w:val="24"/>
          <w:szCs w:val="24"/>
        </w:rPr>
        <w:t>se</w:t>
      </w:r>
      <w:r w:rsidR="00CD3347" w:rsidRPr="00C40E20">
        <w:rPr>
          <w:rFonts w:ascii="Times New Roman" w:hAnsi="Times New Roman"/>
          <w:spacing w:val="-4"/>
          <w:sz w:val="24"/>
          <w:szCs w:val="24"/>
        </w:rPr>
        <w:t>d</w:t>
      </w:r>
      <w:r w:rsidR="004E2766" w:rsidRPr="00C40E20">
        <w:rPr>
          <w:rFonts w:ascii="Times New Roman" w:hAnsi="Times New Roman"/>
          <w:spacing w:val="-4"/>
          <w:sz w:val="24"/>
          <w:szCs w:val="24"/>
        </w:rPr>
        <w:t xml:space="preserve"> </w:t>
      </w:r>
      <w:r w:rsidR="00CD3347" w:rsidRPr="00C40E20">
        <w:rPr>
          <w:rFonts w:ascii="Times New Roman" w:hAnsi="Times New Roman"/>
          <w:spacing w:val="-4"/>
          <w:sz w:val="24"/>
          <w:szCs w:val="24"/>
        </w:rPr>
        <w:t xml:space="preserve">in the </w:t>
      </w:r>
      <w:r w:rsidR="004E2766" w:rsidRPr="00C40E20">
        <w:rPr>
          <w:rFonts w:ascii="Times New Roman" w:hAnsi="Times New Roman"/>
          <w:spacing w:val="-4"/>
          <w:sz w:val="24"/>
          <w:szCs w:val="24"/>
        </w:rPr>
        <w:t>charity</w:t>
      </w:r>
      <w:r w:rsidR="00CD3347" w:rsidRPr="00C40E20">
        <w:rPr>
          <w:rFonts w:ascii="Times New Roman" w:hAnsi="Times New Roman"/>
          <w:spacing w:val="-4"/>
          <w:sz w:val="24"/>
          <w:szCs w:val="24"/>
        </w:rPr>
        <w:t xml:space="preserve">’s </w:t>
      </w:r>
      <w:r w:rsidR="00126A75">
        <w:rPr>
          <w:rFonts w:ascii="Times New Roman" w:hAnsi="Times New Roman"/>
          <w:spacing w:val="-4"/>
          <w:sz w:val="24"/>
          <w:szCs w:val="24"/>
        </w:rPr>
        <w:t xml:space="preserve">tax exempt </w:t>
      </w:r>
      <w:r w:rsidR="00CD3347" w:rsidRPr="00C40E20">
        <w:rPr>
          <w:rFonts w:ascii="Times New Roman" w:hAnsi="Times New Roman"/>
          <w:spacing w:val="-4"/>
          <w:sz w:val="24"/>
          <w:szCs w:val="24"/>
        </w:rPr>
        <w:t>function</w:t>
      </w:r>
      <w:r w:rsidR="004E2766" w:rsidRPr="00C40E20">
        <w:rPr>
          <w:rFonts w:ascii="Times New Roman" w:hAnsi="Times New Roman"/>
          <w:spacing w:val="-4"/>
          <w:sz w:val="24"/>
          <w:szCs w:val="24"/>
        </w:rPr>
        <w:t xml:space="preserve"> are limited to adjusted basis on the date of donation.</w:t>
      </w:r>
    </w:p>
    <w:p w:rsidR="004E2766" w:rsidRPr="00C40E20" w:rsidRDefault="004E2766" w:rsidP="00CD3C31">
      <w:pPr>
        <w:pStyle w:val="Subpartsanswer"/>
        <w:ind w:hanging="720"/>
        <w:jc w:val="left"/>
        <w:rPr>
          <w:rFonts w:ascii="Times New Roman" w:hAnsi="Times New Roman"/>
          <w:spacing w:val="-4"/>
          <w:sz w:val="24"/>
          <w:szCs w:val="24"/>
        </w:rPr>
      </w:pPr>
    </w:p>
    <w:p w:rsidR="004E2766" w:rsidRPr="00C40E20" w:rsidRDefault="00830255" w:rsidP="00CD3C31">
      <w:pPr>
        <w:pStyle w:val="Subpartsanswer"/>
        <w:tabs>
          <w:tab w:val="clear" w:pos="1296"/>
        </w:tabs>
        <w:ind w:left="2160" w:hanging="720"/>
        <w:jc w:val="left"/>
        <w:rPr>
          <w:rFonts w:ascii="Times New Roman" w:hAnsi="Times New Roman"/>
          <w:spacing w:val="-4"/>
          <w:sz w:val="24"/>
          <w:szCs w:val="24"/>
        </w:rPr>
      </w:pPr>
      <w:r w:rsidRPr="00C40E20">
        <w:rPr>
          <w:rFonts w:ascii="Times New Roman" w:hAnsi="Times New Roman"/>
          <w:spacing w:val="-4"/>
          <w:sz w:val="24"/>
          <w:szCs w:val="24"/>
        </w:rPr>
        <w:lastRenderedPageBreak/>
        <w:t>(2)</w:t>
      </w:r>
      <w:r w:rsidRPr="00C40E20">
        <w:rPr>
          <w:rFonts w:ascii="Times New Roman" w:hAnsi="Times New Roman"/>
          <w:spacing w:val="-4"/>
          <w:sz w:val="24"/>
          <w:szCs w:val="24"/>
        </w:rPr>
        <w:tab/>
      </w:r>
      <w:r w:rsidR="00603D7C" w:rsidRPr="00C40E20">
        <w:rPr>
          <w:rFonts w:ascii="Times New Roman" w:hAnsi="Times New Roman"/>
          <w:spacing w:val="-4"/>
          <w:sz w:val="24"/>
          <w:szCs w:val="24"/>
        </w:rPr>
        <w:t>C</w:t>
      </w:r>
      <w:r w:rsidR="00CD3347" w:rsidRPr="00C40E20">
        <w:rPr>
          <w:rFonts w:ascii="Times New Roman" w:hAnsi="Times New Roman"/>
          <w:spacing w:val="-4"/>
          <w:sz w:val="24"/>
          <w:szCs w:val="24"/>
        </w:rPr>
        <w:t>ontribut</w:t>
      </w:r>
      <w:r w:rsidR="00603D7C" w:rsidRPr="00C40E20">
        <w:rPr>
          <w:rFonts w:ascii="Times New Roman" w:hAnsi="Times New Roman"/>
          <w:spacing w:val="-4"/>
          <w:sz w:val="24"/>
          <w:szCs w:val="24"/>
        </w:rPr>
        <w:t>ions of inventory</w:t>
      </w:r>
      <w:r w:rsidR="00CD3347" w:rsidRPr="00C40E20">
        <w:rPr>
          <w:rFonts w:ascii="Times New Roman" w:hAnsi="Times New Roman"/>
          <w:spacing w:val="-4"/>
          <w:sz w:val="24"/>
          <w:szCs w:val="24"/>
        </w:rPr>
        <w:t xml:space="preserve"> </w:t>
      </w:r>
      <w:r w:rsidR="004E2766" w:rsidRPr="00C40E20">
        <w:rPr>
          <w:rFonts w:ascii="Times New Roman" w:hAnsi="Times New Roman"/>
          <w:spacing w:val="-4"/>
          <w:sz w:val="24"/>
          <w:szCs w:val="24"/>
        </w:rPr>
        <w:t xml:space="preserve">to charities </w:t>
      </w:r>
      <w:r w:rsidR="00AA0E35" w:rsidRPr="00C40E20">
        <w:rPr>
          <w:rFonts w:ascii="Times New Roman" w:hAnsi="Times New Roman"/>
          <w:spacing w:val="-4"/>
          <w:sz w:val="24"/>
          <w:szCs w:val="24"/>
        </w:rPr>
        <w:t xml:space="preserve">for use </w:t>
      </w:r>
      <w:r w:rsidR="00B85819" w:rsidRPr="00C40E20">
        <w:rPr>
          <w:rFonts w:ascii="Times New Roman" w:hAnsi="Times New Roman"/>
          <w:spacing w:val="-4"/>
          <w:sz w:val="24"/>
          <w:szCs w:val="24"/>
        </w:rPr>
        <w:t>in t</w:t>
      </w:r>
      <w:r w:rsidR="004E2766" w:rsidRPr="00C40E20">
        <w:rPr>
          <w:rFonts w:ascii="Times New Roman" w:hAnsi="Times New Roman"/>
          <w:spacing w:val="-4"/>
          <w:sz w:val="24"/>
          <w:szCs w:val="24"/>
        </w:rPr>
        <w:t>he</w:t>
      </w:r>
      <w:r w:rsidR="00B85819" w:rsidRPr="00C40E20">
        <w:rPr>
          <w:rFonts w:ascii="Times New Roman" w:hAnsi="Times New Roman"/>
          <w:spacing w:val="-4"/>
          <w:sz w:val="24"/>
          <w:szCs w:val="24"/>
        </w:rPr>
        <w:t>ir</w:t>
      </w:r>
      <w:r w:rsidR="004E2766" w:rsidRPr="00C40E20">
        <w:rPr>
          <w:rFonts w:ascii="Times New Roman" w:hAnsi="Times New Roman"/>
          <w:spacing w:val="-4"/>
          <w:sz w:val="24"/>
          <w:szCs w:val="24"/>
        </w:rPr>
        <w:t xml:space="preserve"> exempt purpose and solely for the care of the ill, needy, or infants, or where the property is used for research purposes under specified conditions are subject to special rules.</w:t>
      </w:r>
      <w:r w:rsidRPr="00C40E20">
        <w:rPr>
          <w:rFonts w:ascii="Times New Roman" w:hAnsi="Times New Roman"/>
          <w:spacing w:val="-4"/>
          <w:sz w:val="24"/>
          <w:szCs w:val="24"/>
        </w:rPr>
        <w:t xml:space="preserve"> </w:t>
      </w:r>
      <w:r w:rsidR="004E2766" w:rsidRPr="00C40E20">
        <w:rPr>
          <w:rFonts w:ascii="Times New Roman" w:hAnsi="Times New Roman"/>
          <w:spacing w:val="-4"/>
          <w:sz w:val="24"/>
          <w:szCs w:val="24"/>
        </w:rPr>
        <w:t>The deduction is measured by the adjusted basis of the property plus half of the appreciation on the property.</w:t>
      </w:r>
      <w:r w:rsidRPr="00C40E20">
        <w:rPr>
          <w:rFonts w:ascii="Times New Roman" w:hAnsi="Times New Roman"/>
          <w:spacing w:val="-4"/>
          <w:sz w:val="24"/>
          <w:szCs w:val="24"/>
        </w:rPr>
        <w:t xml:space="preserve"> </w:t>
      </w:r>
      <w:r w:rsidR="004E2766" w:rsidRPr="00C40E20">
        <w:rPr>
          <w:rFonts w:ascii="Times New Roman" w:hAnsi="Times New Roman"/>
          <w:spacing w:val="-4"/>
          <w:sz w:val="24"/>
          <w:szCs w:val="24"/>
        </w:rPr>
        <w:t>However, the deduction cannot exceed twice the basis of the property.</w:t>
      </w:r>
    </w:p>
    <w:p w:rsidR="004E2766" w:rsidRPr="00C40E20" w:rsidRDefault="004E2766" w:rsidP="00CD3C31">
      <w:pPr>
        <w:pStyle w:val="subanswerblockpara"/>
        <w:ind w:hanging="720"/>
        <w:jc w:val="left"/>
        <w:rPr>
          <w:rFonts w:ascii="Times New Roman" w:hAnsi="Times New Roman"/>
          <w:spacing w:val="-4"/>
          <w:sz w:val="24"/>
          <w:szCs w:val="24"/>
        </w:rPr>
      </w:pPr>
    </w:p>
    <w:p w:rsidR="00682DFF" w:rsidRPr="00682DFF" w:rsidRDefault="00C26AD5" w:rsidP="00682DFF">
      <w:pPr>
        <w:pStyle w:val="subanswerblockpara"/>
        <w:ind w:left="2160" w:hanging="720"/>
        <w:jc w:val="left"/>
        <w:rPr>
          <w:rFonts w:ascii="Times New Roman" w:hAnsi="Times New Roman"/>
          <w:spacing w:val="-4"/>
          <w:sz w:val="24"/>
        </w:rPr>
      </w:pPr>
      <w:r w:rsidRPr="00C40E20">
        <w:rPr>
          <w:rFonts w:ascii="Times New Roman" w:hAnsi="Times New Roman"/>
          <w:spacing w:val="-4"/>
          <w:sz w:val="24"/>
        </w:rPr>
        <w:tab/>
      </w:r>
      <w:r w:rsidR="00682DFF" w:rsidRPr="00682DFF">
        <w:rPr>
          <w:rFonts w:ascii="Times New Roman" w:hAnsi="Times New Roman"/>
          <w:spacing w:val="-4"/>
          <w:sz w:val="24"/>
        </w:rPr>
        <w:t>Example:  Rose Instruments, Inc., a scientific equipment manufacturer, donates inventory (basis of $30,000, fair market value of $70,000) to a qualified nonprofit university which will use the equipment in its scientific research endeavors.  The amount of the charitable contribution is $50,000 [$30,000 basis + .5($70,000 fair market value – $30,000 basis)] which is less than the ceiling of $60,000 (2 x $30,000 basis).</w:t>
      </w:r>
    </w:p>
    <w:p w:rsidR="00AA0E35" w:rsidRPr="00527FF2" w:rsidRDefault="00AA0E35" w:rsidP="002E04A8">
      <w:pPr>
        <w:pStyle w:val="subanswerblockpara"/>
        <w:tabs>
          <w:tab w:val="clear" w:pos="1296"/>
        </w:tabs>
        <w:ind w:left="2160" w:hanging="720"/>
        <w:jc w:val="left"/>
        <w:rPr>
          <w:rFonts w:ascii="Times New Roman" w:hAnsi="Times New Roman"/>
          <w:sz w:val="24"/>
        </w:rPr>
      </w:pPr>
    </w:p>
    <w:p w:rsidR="00ED4A89" w:rsidRDefault="00ED4A89" w:rsidP="002E04A8">
      <w:pPr>
        <w:pStyle w:val="Subpartsanswer"/>
        <w:tabs>
          <w:tab w:val="clear" w:pos="1296"/>
        </w:tabs>
        <w:ind w:left="1440" w:hanging="720"/>
        <w:jc w:val="left"/>
        <w:rPr>
          <w:rFonts w:ascii="Times New Roman" w:hAnsi="Times New Roman"/>
          <w:sz w:val="24"/>
          <w:szCs w:val="24"/>
        </w:rPr>
      </w:pPr>
      <w:r>
        <w:rPr>
          <w:rFonts w:ascii="Times New Roman" w:hAnsi="Times New Roman"/>
          <w:sz w:val="24"/>
          <w:szCs w:val="24"/>
        </w:rPr>
        <w:t>c.</w:t>
      </w:r>
      <w:r>
        <w:rPr>
          <w:rFonts w:ascii="Times New Roman" w:hAnsi="Times New Roman"/>
          <w:sz w:val="24"/>
          <w:szCs w:val="24"/>
        </w:rPr>
        <w:tab/>
        <w:t>L</w:t>
      </w:r>
      <w:r w:rsidRPr="00905474">
        <w:rPr>
          <w:rFonts w:ascii="Times New Roman" w:hAnsi="Times New Roman"/>
          <w:sz w:val="24"/>
          <w:szCs w:val="24"/>
        </w:rPr>
        <w:t xml:space="preserve">imitation is 10% of taxable income computed without regard to charitable contribution deductions, net operating </w:t>
      </w:r>
      <w:r w:rsidR="008A29E1" w:rsidRPr="00905474">
        <w:rPr>
          <w:rFonts w:ascii="Times New Roman" w:hAnsi="Times New Roman"/>
          <w:sz w:val="24"/>
          <w:szCs w:val="24"/>
        </w:rPr>
        <w:t>loss</w:t>
      </w:r>
      <w:r w:rsidRPr="00905474">
        <w:rPr>
          <w:rFonts w:ascii="Times New Roman" w:hAnsi="Times New Roman"/>
          <w:sz w:val="24"/>
          <w:szCs w:val="24"/>
        </w:rPr>
        <w:t xml:space="preserve"> or capital loss carrybacks, dividends received deduction</w:t>
      </w:r>
      <w:r w:rsidR="0000028B">
        <w:rPr>
          <w:rFonts w:ascii="Times New Roman" w:hAnsi="Times New Roman"/>
          <w:sz w:val="24"/>
          <w:szCs w:val="24"/>
        </w:rPr>
        <w:t>,</w:t>
      </w:r>
      <w:r w:rsidR="003733C1">
        <w:rPr>
          <w:rFonts w:ascii="Times New Roman" w:hAnsi="Times New Roman"/>
          <w:sz w:val="24"/>
          <w:szCs w:val="24"/>
        </w:rPr>
        <w:t xml:space="preserve"> and domestic production activities deduction</w:t>
      </w:r>
      <w:r w:rsidRPr="00905474">
        <w:rPr>
          <w:rFonts w:ascii="Times New Roman" w:hAnsi="Times New Roman"/>
          <w:sz w:val="24"/>
          <w:szCs w:val="24"/>
        </w:rPr>
        <w:t>.</w:t>
      </w:r>
      <w:r>
        <w:rPr>
          <w:rFonts w:ascii="Times New Roman" w:hAnsi="Times New Roman"/>
          <w:sz w:val="24"/>
          <w:szCs w:val="24"/>
        </w:rPr>
        <w:t xml:space="preserve"> </w:t>
      </w:r>
      <w:r w:rsidRPr="00905474">
        <w:rPr>
          <w:rFonts w:ascii="Times New Roman" w:hAnsi="Times New Roman"/>
          <w:sz w:val="24"/>
          <w:szCs w:val="24"/>
        </w:rPr>
        <w:t xml:space="preserve">Any contribution in excess of the 10% limitation </w:t>
      </w:r>
      <w:r w:rsidR="008C47AE">
        <w:rPr>
          <w:rFonts w:ascii="Times New Roman" w:hAnsi="Times New Roman"/>
          <w:sz w:val="24"/>
          <w:szCs w:val="24"/>
        </w:rPr>
        <w:t>is</w:t>
      </w:r>
      <w:r w:rsidRPr="00905474">
        <w:rPr>
          <w:rFonts w:ascii="Times New Roman" w:hAnsi="Times New Roman"/>
          <w:sz w:val="24"/>
          <w:szCs w:val="24"/>
        </w:rPr>
        <w:t xml:space="preserve"> carried forward </w:t>
      </w:r>
      <w:r w:rsidR="008C47AE">
        <w:rPr>
          <w:rFonts w:ascii="Times New Roman" w:hAnsi="Times New Roman"/>
          <w:sz w:val="24"/>
          <w:szCs w:val="24"/>
        </w:rPr>
        <w:t>for</w:t>
      </w:r>
      <w:r w:rsidRPr="00905474">
        <w:rPr>
          <w:rFonts w:ascii="Times New Roman" w:hAnsi="Times New Roman"/>
          <w:sz w:val="24"/>
          <w:szCs w:val="24"/>
        </w:rPr>
        <w:t xml:space="preserve"> </w:t>
      </w:r>
      <w:r>
        <w:rPr>
          <w:rFonts w:ascii="Times New Roman" w:hAnsi="Times New Roman"/>
          <w:sz w:val="24"/>
          <w:szCs w:val="24"/>
        </w:rPr>
        <w:t>5</w:t>
      </w:r>
      <w:r w:rsidRPr="00905474">
        <w:rPr>
          <w:rFonts w:ascii="Times New Roman" w:hAnsi="Times New Roman"/>
          <w:sz w:val="24"/>
          <w:szCs w:val="24"/>
        </w:rPr>
        <w:t xml:space="preserve"> years</w:t>
      </w:r>
      <w:r>
        <w:rPr>
          <w:rFonts w:ascii="Times New Roman" w:hAnsi="Times New Roman"/>
          <w:sz w:val="24"/>
          <w:szCs w:val="24"/>
        </w:rPr>
        <w:t>.</w:t>
      </w:r>
    </w:p>
    <w:p w:rsidR="000310A4" w:rsidRDefault="000310A4" w:rsidP="002E04A8">
      <w:pPr>
        <w:pStyle w:val="subquestionpara"/>
        <w:keepNext/>
        <w:rPr>
          <w:rFonts w:ascii="Times New Roman" w:hAnsi="Times New Roman"/>
          <w:sz w:val="16"/>
        </w:rPr>
      </w:pPr>
    </w:p>
    <w:p w:rsidR="0000028B" w:rsidRDefault="0000028B" w:rsidP="002E04A8">
      <w:pPr>
        <w:pStyle w:val="subquestionpara"/>
        <w:keepNext/>
        <w:rPr>
          <w:rFonts w:ascii="Times New Roman" w:hAnsi="Times New Roman"/>
          <w:sz w:val="16"/>
        </w:rPr>
      </w:pPr>
    </w:p>
    <w:p w:rsidR="000310A4" w:rsidRDefault="000310A4" w:rsidP="002E04A8">
      <w:pPr>
        <w:keepNext/>
        <w:pBdr>
          <w:top w:val="double" w:sz="6" w:space="0" w:color="000000"/>
          <w:bottom w:val="double" w:sz="6" w:space="0" w:color="000000"/>
        </w:pBdr>
        <w:shd w:val="pct10" w:color="auto" w:fill="auto"/>
        <w:spacing w:line="240" w:lineRule="exact"/>
        <w:jc w:val="center"/>
        <w:rPr>
          <w:b/>
        </w:rPr>
      </w:pPr>
    </w:p>
    <w:p w:rsidR="000310A4" w:rsidRDefault="000310A4" w:rsidP="00DF7775">
      <w:pPr>
        <w:keepNext/>
        <w:pBdr>
          <w:top w:val="double" w:sz="6" w:space="0" w:color="000000"/>
          <w:bottom w:val="double" w:sz="6" w:space="0" w:color="000000"/>
        </w:pBdr>
        <w:shd w:val="pct10" w:color="auto" w:fill="auto"/>
        <w:spacing w:before="240" w:line="240" w:lineRule="exact"/>
        <w:jc w:val="center"/>
      </w:pPr>
      <w:r>
        <w:rPr>
          <w:b/>
          <w:position w:val="12"/>
        </w:rPr>
        <w:t>ADDITIONAL LECTURE RESOURCE</w:t>
      </w:r>
    </w:p>
    <w:p w:rsidR="000310A4" w:rsidRDefault="000310A4" w:rsidP="002E04A8">
      <w:pPr>
        <w:pStyle w:val="Subpartsanswer"/>
        <w:keepNext/>
        <w:rPr>
          <w:rFonts w:ascii="Times New Roman" w:hAnsi="Times New Roman"/>
          <w:sz w:val="24"/>
        </w:rPr>
      </w:pPr>
    </w:p>
    <w:p w:rsidR="000310A4" w:rsidRPr="00942EDA" w:rsidRDefault="000310A4" w:rsidP="002E04A8">
      <w:pPr>
        <w:spacing w:line="240" w:lineRule="exact"/>
        <w:jc w:val="both"/>
        <w:rPr>
          <w:spacing w:val="-4"/>
        </w:rPr>
      </w:pPr>
      <w:proofErr w:type="gramStart"/>
      <w:r w:rsidRPr="00132826">
        <w:rPr>
          <w:b/>
          <w:spacing w:val="-4"/>
        </w:rPr>
        <w:t>Charitable Contributions of Inventory</w:t>
      </w:r>
      <w:r w:rsidR="0073440E">
        <w:rPr>
          <w:spacing w:val="-4"/>
        </w:rPr>
        <w:t>.</w:t>
      </w:r>
      <w:proofErr w:type="gramEnd"/>
      <w:r w:rsidR="0073440E">
        <w:rPr>
          <w:spacing w:val="-4"/>
        </w:rPr>
        <w:t xml:space="preserve"> </w:t>
      </w:r>
      <w:r w:rsidRPr="00942EDA">
        <w:rPr>
          <w:spacing w:val="-4"/>
        </w:rPr>
        <w:t>The regulations provide guidance on determining whether inventory is related to a qualified organization’s exempt purpose or function. The regulations also elaborate on the requirement that the corporate donor receive a written statement from the qualified organization regarding the use and disposition of donated inventory [§ 170(e</w:t>
      </w:r>
      <w:proofErr w:type="gramStart"/>
      <w:r w:rsidRPr="00942EDA">
        <w:rPr>
          <w:spacing w:val="-4"/>
        </w:rPr>
        <w:t>)(</w:t>
      </w:r>
      <w:proofErr w:type="gramEnd"/>
      <w:r w:rsidRPr="00942EDA">
        <w:rPr>
          <w:spacing w:val="-4"/>
        </w:rPr>
        <w:t>3)(A)(iii)], as well as the determination of inventory basis</w:t>
      </w:r>
      <w:r w:rsidR="00CB0D01">
        <w:rPr>
          <w:spacing w:val="-4"/>
        </w:rPr>
        <w:t xml:space="preserve"> (</w:t>
      </w:r>
      <w:r w:rsidRPr="00942EDA">
        <w:rPr>
          <w:spacing w:val="-4"/>
        </w:rPr>
        <w:t>Reg. § 1.170A-4A.</w:t>
      </w:r>
      <w:r w:rsidR="00CB0D01">
        <w:rPr>
          <w:spacing w:val="-4"/>
        </w:rPr>
        <w:t>)</w:t>
      </w:r>
      <w:r w:rsidRPr="00942EDA">
        <w:rPr>
          <w:spacing w:val="-4"/>
        </w:rPr>
        <w:t xml:space="preserve">  In some cases, the disposition of inventory by a donee within 3 years of the date of contribution will result in recapture (gross income) to the corporation, equal to the excess of the corporation’s charitable deduction for the inventory over its basis</w:t>
      </w:r>
      <w:r w:rsidR="00CB0D01">
        <w:rPr>
          <w:spacing w:val="-4"/>
        </w:rPr>
        <w:t xml:space="preserve"> in such property [</w:t>
      </w:r>
      <w:r w:rsidRPr="00942EDA">
        <w:rPr>
          <w:spacing w:val="-4"/>
        </w:rPr>
        <w:t>§ 170(e)(7)].</w:t>
      </w:r>
      <w:r w:rsidR="00465EFC">
        <w:rPr>
          <w:spacing w:val="-4"/>
        </w:rPr>
        <w:t xml:space="preserve">  For a recent ruling where the enhanced inventory deduction was disallowed due to inadequate substantiation, see NSAR 2011380IF (August 15, 2011).</w:t>
      </w:r>
    </w:p>
    <w:p w:rsidR="000310A4" w:rsidRDefault="000310A4" w:rsidP="002E04A8">
      <w:pPr>
        <w:pBdr>
          <w:bottom w:val="double" w:sz="6" w:space="1" w:color="auto"/>
        </w:pBdr>
        <w:tabs>
          <w:tab w:val="right" w:pos="9720"/>
        </w:tabs>
        <w:spacing w:line="240" w:lineRule="exact"/>
        <w:jc w:val="both"/>
      </w:pPr>
      <w:r>
        <w:tab/>
      </w:r>
    </w:p>
    <w:p w:rsidR="000310A4" w:rsidRDefault="000310A4" w:rsidP="002E04A8">
      <w:pPr>
        <w:spacing w:line="240" w:lineRule="exact"/>
        <w:rPr>
          <w:b/>
        </w:rPr>
      </w:pPr>
    </w:p>
    <w:p w:rsidR="00877492" w:rsidRDefault="00877492" w:rsidP="002E04A8">
      <w:pPr>
        <w:spacing w:line="240" w:lineRule="exact"/>
        <w:rPr>
          <w:b/>
        </w:rPr>
      </w:pPr>
    </w:p>
    <w:p w:rsidR="00775555" w:rsidRDefault="00767D7D" w:rsidP="00684849">
      <w:pPr>
        <w:pStyle w:val="mainanswerparagraph"/>
        <w:keepNext/>
        <w:jc w:val="left"/>
        <w:rPr>
          <w:rFonts w:ascii="Times New Roman" w:hAnsi="Times New Roman"/>
          <w:b/>
          <w:sz w:val="24"/>
        </w:rPr>
      </w:pPr>
      <w:r>
        <w:rPr>
          <w:rFonts w:ascii="Times New Roman" w:hAnsi="Times New Roman"/>
          <w:b/>
          <w:sz w:val="24"/>
        </w:rPr>
        <w:t xml:space="preserve">Domestic </w:t>
      </w:r>
      <w:r w:rsidR="002A00CC">
        <w:rPr>
          <w:rFonts w:ascii="Times New Roman" w:hAnsi="Times New Roman"/>
          <w:b/>
          <w:sz w:val="24"/>
        </w:rPr>
        <w:t xml:space="preserve">Production Activities </w:t>
      </w:r>
      <w:r w:rsidR="00775555">
        <w:rPr>
          <w:rFonts w:ascii="Times New Roman" w:hAnsi="Times New Roman"/>
          <w:b/>
          <w:sz w:val="24"/>
        </w:rPr>
        <w:t>D</w:t>
      </w:r>
      <w:r w:rsidR="002A00CC">
        <w:rPr>
          <w:rFonts w:ascii="Times New Roman" w:hAnsi="Times New Roman"/>
          <w:b/>
          <w:sz w:val="24"/>
        </w:rPr>
        <w:t>eduction</w:t>
      </w:r>
    </w:p>
    <w:p w:rsidR="004E350D" w:rsidRDefault="00061804" w:rsidP="002E04A8">
      <w:pPr>
        <w:pStyle w:val="mainanswerparagraph"/>
        <w:jc w:val="left"/>
        <w:rPr>
          <w:rFonts w:ascii="Times New Roman" w:hAnsi="Times New Roman"/>
          <w:sz w:val="24"/>
        </w:rPr>
      </w:pPr>
      <w:r>
        <w:rPr>
          <w:rFonts w:ascii="Times New Roman" w:hAnsi="Times New Roman"/>
          <w:sz w:val="24"/>
        </w:rPr>
        <w:t xml:space="preserve"> </w:t>
      </w:r>
    </w:p>
    <w:p w:rsidR="00775555" w:rsidRDefault="00775555" w:rsidP="002E04A8">
      <w:pPr>
        <w:pStyle w:val="mainanswerparagraph"/>
        <w:jc w:val="left"/>
        <w:rPr>
          <w:rFonts w:ascii="Times New Roman" w:hAnsi="Times New Roman"/>
          <w:color w:val="000000"/>
          <w:sz w:val="24"/>
        </w:rPr>
      </w:pPr>
      <w:r>
        <w:rPr>
          <w:rFonts w:ascii="Times New Roman" w:hAnsi="Times New Roman"/>
          <w:color w:val="000000"/>
          <w:sz w:val="24"/>
        </w:rPr>
        <w:t>1</w:t>
      </w:r>
      <w:r w:rsidR="002D4CEF">
        <w:rPr>
          <w:rFonts w:ascii="Times New Roman" w:hAnsi="Times New Roman"/>
          <w:color w:val="000000"/>
          <w:sz w:val="24"/>
        </w:rPr>
        <w:t>8</w:t>
      </w:r>
      <w:r>
        <w:rPr>
          <w:rFonts w:ascii="Times New Roman" w:hAnsi="Times New Roman"/>
          <w:color w:val="000000"/>
          <w:sz w:val="24"/>
        </w:rPr>
        <w:t>.</w:t>
      </w:r>
      <w:r>
        <w:rPr>
          <w:rFonts w:ascii="Times New Roman" w:hAnsi="Times New Roman"/>
          <w:color w:val="000000"/>
          <w:sz w:val="24"/>
        </w:rPr>
        <w:tab/>
      </w:r>
      <w:r w:rsidR="00905474">
        <w:rPr>
          <w:rFonts w:ascii="Times New Roman" w:hAnsi="Times New Roman"/>
          <w:color w:val="000000"/>
          <w:sz w:val="24"/>
        </w:rPr>
        <w:t xml:space="preserve">Domestic </w:t>
      </w:r>
      <w:r w:rsidR="004E350D" w:rsidRPr="00905474">
        <w:rPr>
          <w:rFonts w:ascii="Times New Roman" w:hAnsi="Times New Roman"/>
          <w:color w:val="000000"/>
          <w:sz w:val="24"/>
        </w:rPr>
        <w:t>production activities</w:t>
      </w:r>
      <w:r w:rsidRPr="00905474">
        <w:rPr>
          <w:rFonts w:ascii="Times New Roman" w:hAnsi="Times New Roman"/>
          <w:color w:val="000000"/>
          <w:sz w:val="24"/>
        </w:rPr>
        <w:t xml:space="preserve"> deduction</w:t>
      </w:r>
      <w:r w:rsidR="00942EDA">
        <w:rPr>
          <w:rFonts w:ascii="Times New Roman" w:hAnsi="Times New Roman"/>
          <w:color w:val="000000"/>
          <w:sz w:val="24"/>
        </w:rPr>
        <w:t xml:space="preserve"> (DPAD)</w:t>
      </w:r>
      <w:r w:rsidR="00905474">
        <w:rPr>
          <w:rFonts w:ascii="Times New Roman" w:hAnsi="Times New Roman"/>
          <w:color w:val="000000"/>
          <w:sz w:val="24"/>
        </w:rPr>
        <w:t xml:space="preserve"> is </w:t>
      </w:r>
      <w:r>
        <w:rPr>
          <w:rFonts w:ascii="Times New Roman" w:hAnsi="Times New Roman"/>
          <w:color w:val="000000"/>
          <w:sz w:val="24"/>
        </w:rPr>
        <w:t xml:space="preserve">based on the income from manufacturing activities </w:t>
      </w:r>
      <w:r w:rsidR="00177C1D">
        <w:rPr>
          <w:rFonts w:ascii="Times New Roman" w:hAnsi="Times New Roman"/>
          <w:color w:val="000000"/>
          <w:sz w:val="24"/>
        </w:rPr>
        <w:t>(</w:t>
      </w:r>
      <w:r w:rsidR="00942EDA">
        <w:rPr>
          <w:rFonts w:ascii="Times New Roman" w:hAnsi="Times New Roman"/>
          <w:color w:val="000000"/>
          <w:sz w:val="24"/>
        </w:rPr>
        <w:t>s</w:t>
      </w:r>
      <w:r w:rsidR="00177C1D">
        <w:rPr>
          <w:rFonts w:ascii="Times New Roman" w:hAnsi="Times New Roman"/>
          <w:color w:val="000000"/>
          <w:sz w:val="24"/>
        </w:rPr>
        <w:t>ee Chapter 3 for a detailed discussion).</w:t>
      </w:r>
    </w:p>
    <w:p w:rsidR="00775555" w:rsidRDefault="00775555" w:rsidP="002E04A8">
      <w:pPr>
        <w:pStyle w:val="mainanswerparagraph"/>
        <w:jc w:val="left"/>
        <w:rPr>
          <w:rFonts w:ascii="Times New Roman" w:hAnsi="Times New Roman"/>
          <w:sz w:val="24"/>
        </w:rPr>
      </w:pPr>
    </w:p>
    <w:p w:rsidR="00775555" w:rsidRDefault="00775555" w:rsidP="00CD3C31">
      <w:pPr>
        <w:autoSpaceDE w:val="0"/>
        <w:autoSpaceDN w:val="0"/>
        <w:adjustRightInd w:val="0"/>
        <w:spacing w:after="240" w:line="240" w:lineRule="exact"/>
        <w:ind w:left="1440" w:hanging="720"/>
        <w:rPr>
          <w:color w:val="000000"/>
        </w:rPr>
      </w:pPr>
      <w:r>
        <w:t>a.</w:t>
      </w:r>
      <w:r>
        <w:tab/>
      </w:r>
      <w:r w:rsidR="00942EDA">
        <w:rPr>
          <w:color w:val="000000"/>
        </w:rPr>
        <w:t xml:space="preserve">DPAD </w:t>
      </w:r>
      <w:r>
        <w:rPr>
          <w:color w:val="000000"/>
        </w:rPr>
        <w:t>is the lower of</w:t>
      </w:r>
      <w:r w:rsidR="000B3890">
        <w:rPr>
          <w:color w:val="000000"/>
        </w:rPr>
        <w:t xml:space="preserve"> the following.</w:t>
      </w:r>
    </w:p>
    <w:p w:rsidR="00581F0B" w:rsidRDefault="0055376E" w:rsidP="002E04A8">
      <w:pPr>
        <w:numPr>
          <w:ilvl w:val="0"/>
          <w:numId w:val="31"/>
        </w:numPr>
        <w:tabs>
          <w:tab w:val="clear" w:pos="648"/>
          <w:tab w:val="num" w:pos="2160"/>
        </w:tabs>
        <w:spacing w:line="240" w:lineRule="exact"/>
        <w:ind w:firstLine="720"/>
      </w:pPr>
      <w:r>
        <w:t>9</w:t>
      </w:r>
      <w:r w:rsidR="00AB4AA2" w:rsidRPr="00581F0B">
        <w:t xml:space="preserve">% of </w:t>
      </w:r>
      <w:r w:rsidR="0075374C" w:rsidRPr="00581F0B">
        <w:t>q</w:t>
      </w:r>
      <w:r w:rsidR="00775555" w:rsidRPr="00581F0B">
        <w:t xml:space="preserve">ualified production </w:t>
      </w:r>
      <w:r w:rsidR="000B3890" w:rsidRPr="00581F0B">
        <w:t xml:space="preserve">activities </w:t>
      </w:r>
      <w:r w:rsidR="00775555" w:rsidRPr="00581F0B">
        <w:t>income</w:t>
      </w:r>
      <w:r w:rsidR="00D6217B" w:rsidRPr="00581F0B">
        <w:t>.</w:t>
      </w:r>
      <w:r w:rsidR="00581F0B">
        <w:t xml:space="preserve"> </w:t>
      </w:r>
    </w:p>
    <w:p w:rsidR="00581F0B" w:rsidRDefault="0055376E" w:rsidP="002E04A8">
      <w:pPr>
        <w:numPr>
          <w:ilvl w:val="0"/>
          <w:numId w:val="31"/>
        </w:numPr>
        <w:tabs>
          <w:tab w:val="clear" w:pos="648"/>
          <w:tab w:val="num" w:pos="2160"/>
        </w:tabs>
        <w:spacing w:line="240" w:lineRule="exact"/>
        <w:ind w:firstLine="720"/>
      </w:pPr>
      <w:r>
        <w:t>9</w:t>
      </w:r>
      <w:r w:rsidR="0075374C" w:rsidRPr="00581F0B">
        <w:t>% of t</w:t>
      </w:r>
      <w:r w:rsidR="00775555" w:rsidRPr="00581F0B">
        <w:t>axable income (</w:t>
      </w:r>
      <w:r w:rsidR="00B75131" w:rsidRPr="00581F0B">
        <w:t xml:space="preserve">modified </w:t>
      </w:r>
      <w:r w:rsidR="00775555" w:rsidRPr="00581F0B">
        <w:t>adjusted gross income</w:t>
      </w:r>
      <w:r w:rsidR="00B75131" w:rsidRPr="00581F0B">
        <w:t xml:space="preserve"> for</w:t>
      </w:r>
      <w:r w:rsidR="00775555" w:rsidRPr="00581F0B">
        <w:t xml:space="preserve"> individuals).</w:t>
      </w:r>
    </w:p>
    <w:p w:rsidR="00905474" w:rsidRDefault="00905474" w:rsidP="002E04A8">
      <w:pPr>
        <w:numPr>
          <w:ilvl w:val="0"/>
          <w:numId w:val="31"/>
        </w:numPr>
        <w:tabs>
          <w:tab w:val="clear" w:pos="648"/>
          <w:tab w:val="num" w:pos="2160"/>
        </w:tabs>
        <w:spacing w:line="240" w:lineRule="exact"/>
        <w:ind w:left="2160" w:hanging="720"/>
      </w:pPr>
      <w:r w:rsidRPr="00581F0B">
        <w:t>5</w:t>
      </w:r>
      <w:r w:rsidR="0017447B" w:rsidRPr="00581F0B">
        <w:t>0</w:t>
      </w:r>
      <w:r w:rsidRPr="00581F0B">
        <w:t>% of W-2 wages</w:t>
      </w:r>
      <w:r w:rsidR="000F38DE" w:rsidRPr="00581F0B">
        <w:t xml:space="preserve"> related to the </w:t>
      </w:r>
      <w:r w:rsidR="00C54495" w:rsidRPr="00581F0B">
        <w:t xml:space="preserve">qualified </w:t>
      </w:r>
      <w:r w:rsidR="000F38DE" w:rsidRPr="00581F0B">
        <w:t>production</w:t>
      </w:r>
      <w:r w:rsidR="00C54495" w:rsidRPr="00581F0B">
        <w:t xml:space="preserve"> activities income</w:t>
      </w:r>
      <w:r w:rsidR="000F38DE" w:rsidRPr="00581F0B">
        <w:t>.</w:t>
      </w:r>
    </w:p>
    <w:p w:rsidR="00581F0B" w:rsidRPr="001B106E" w:rsidRDefault="00581F0B" w:rsidP="002E04A8">
      <w:pPr>
        <w:spacing w:line="240" w:lineRule="exact"/>
        <w:ind w:left="1440"/>
      </w:pPr>
    </w:p>
    <w:p w:rsidR="00775555" w:rsidRPr="001B106E" w:rsidRDefault="00775555" w:rsidP="001B106E">
      <w:pPr>
        <w:pStyle w:val="mainanswerparagraph"/>
        <w:tabs>
          <w:tab w:val="left" w:pos="1440"/>
        </w:tabs>
        <w:ind w:left="1440" w:hanging="1440"/>
        <w:jc w:val="left"/>
        <w:rPr>
          <w:rFonts w:ascii="Times New Roman" w:hAnsi="Times New Roman"/>
          <w:sz w:val="24"/>
          <w:szCs w:val="24"/>
        </w:rPr>
      </w:pPr>
      <w:r w:rsidRPr="001B106E">
        <w:rPr>
          <w:rFonts w:ascii="Times New Roman" w:hAnsi="Times New Roman"/>
          <w:color w:val="000000"/>
          <w:sz w:val="24"/>
          <w:szCs w:val="24"/>
        </w:rPr>
        <w:tab/>
      </w:r>
      <w:r w:rsidR="001B106E" w:rsidRPr="001B106E">
        <w:rPr>
          <w:rFonts w:ascii="Times New Roman" w:hAnsi="Times New Roman"/>
          <w:sz w:val="24"/>
          <w:szCs w:val="24"/>
        </w:rPr>
        <w:t>b</w:t>
      </w:r>
      <w:r w:rsidRPr="001B106E">
        <w:rPr>
          <w:rFonts w:ascii="Times New Roman" w:hAnsi="Times New Roman"/>
          <w:sz w:val="24"/>
          <w:szCs w:val="24"/>
        </w:rPr>
        <w:t>.</w:t>
      </w:r>
      <w:r w:rsidR="00F3274A" w:rsidRPr="001B106E">
        <w:rPr>
          <w:rFonts w:ascii="Times New Roman" w:hAnsi="Times New Roman"/>
          <w:sz w:val="24"/>
          <w:szCs w:val="24"/>
        </w:rPr>
        <w:tab/>
      </w:r>
      <w:r w:rsidR="009E73A0" w:rsidRPr="001B106E">
        <w:rPr>
          <w:rFonts w:ascii="Times New Roman" w:hAnsi="Times New Roman"/>
          <w:sz w:val="24"/>
          <w:szCs w:val="24"/>
        </w:rPr>
        <w:t>D</w:t>
      </w:r>
      <w:r w:rsidR="00F3274A" w:rsidRPr="001B106E">
        <w:rPr>
          <w:rFonts w:ascii="Times New Roman" w:hAnsi="Times New Roman"/>
          <w:sz w:val="24"/>
          <w:szCs w:val="24"/>
        </w:rPr>
        <w:t xml:space="preserve">eduction is available to </w:t>
      </w:r>
      <w:r w:rsidR="0081132E" w:rsidRPr="001B106E">
        <w:rPr>
          <w:rFonts w:ascii="Times New Roman" w:hAnsi="Times New Roman"/>
          <w:sz w:val="24"/>
          <w:szCs w:val="24"/>
        </w:rPr>
        <w:t xml:space="preserve">all types of </w:t>
      </w:r>
      <w:r w:rsidR="00684962" w:rsidRPr="001B106E">
        <w:rPr>
          <w:rFonts w:ascii="Times New Roman" w:hAnsi="Times New Roman"/>
          <w:sz w:val="24"/>
          <w:szCs w:val="24"/>
        </w:rPr>
        <w:t>business entit</w:t>
      </w:r>
      <w:r w:rsidR="0081132E" w:rsidRPr="001B106E">
        <w:rPr>
          <w:rFonts w:ascii="Times New Roman" w:hAnsi="Times New Roman"/>
          <w:sz w:val="24"/>
          <w:szCs w:val="24"/>
        </w:rPr>
        <w:t>ies</w:t>
      </w:r>
      <w:r w:rsidR="00684962" w:rsidRPr="001B106E">
        <w:rPr>
          <w:rFonts w:ascii="Times New Roman" w:hAnsi="Times New Roman"/>
          <w:sz w:val="24"/>
          <w:szCs w:val="24"/>
        </w:rPr>
        <w:t xml:space="preserve">. </w:t>
      </w:r>
    </w:p>
    <w:p w:rsidR="00644068" w:rsidRDefault="00644068" w:rsidP="002E04A8">
      <w:pPr>
        <w:pStyle w:val="mainanswerparagraph"/>
        <w:jc w:val="left"/>
        <w:rPr>
          <w:rFonts w:ascii="Times New Roman" w:hAnsi="Times New Roman"/>
          <w:b/>
          <w:sz w:val="24"/>
          <w:szCs w:val="24"/>
        </w:rPr>
      </w:pPr>
    </w:p>
    <w:p w:rsidR="00682DFF" w:rsidRDefault="00682DFF" w:rsidP="002E04A8">
      <w:pPr>
        <w:pStyle w:val="mainanswerparagraph"/>
        <w:jc w:val="left"/>
        <w:rPr>
          <w:rFonts w:ascii="Times New Roman" w:hAnsi="Times New Roman"/>
          <w:b/>
          <w:sz w:val="24"/>
          <w:szCs w:val="24"/>
        </w:rPr>
      </w:pPr>
    </w:p>
    <w:p w:rsidR="00682DFF" w:rsidRPr="001B106E" w:rsidRDefault="00682DFF" w:rsidP="002E04A8">
      <w:pPr>
        <w:pStyle w:val="mainanswerparagraph"/>
        <w:jc w:val="left"/>
        <w:rPr>
          <w:rFonts w:ascii="Times New Roman" w:hAnsi="Times New Roman"/>
          <w:b/>
          <w:sz w:val="24"/>
          <w:szCs w:val="24"/>
        </w:rPr>
      </w:pPr>
    </w:p>
    <w:p w:rsidR="00775555" w:rsidRDefault="002A00CC" w:rsidP="002E04A8">
      <w:pPr>
        <w:pStyle w:val="mainanswerparagraph"/>
        <w:jc w:val="left"/>
        <w:rPr>
          <w:rFonts w:ascii="Times New Roman" w:hAnsi="Times New Roman"/>
          <w:b/>
          <w:sz w:val="24"/>
        </w:rPr>
      </w:pPr>
      <w:r>
        <w:rPr>
          <w:rFonts w:ascii="Times New Roman" w:hAnsi="Times New Roman"/>
          <w:b/>
          <w:sz w:val="24"/>
        </w:rPr>
        <w:t>Net Operating Losses</w:t>
      </w:r>
    </w:p>
    <w:p w:rsidR="00775555" w:rsidRDefault="00775555" w:rsidP="002E04A8">
      <w:pPr>
        <w:spacing w:line="240" w:lineRule="exact"/>
      </w:pPr>
    </w:p>
    <w:p w:rsidR="002C18FD" w:rsidRDefault="002D4CEF" w:rsidP="002E04A8">
      <w:pPr>
        <w:pStyle w:val="linebeforequestion"/>
        <w:tabs>
          <w:tab w:val="clear" w:pos="1296"/>
        </w:tabs>
        <w:ind w:left="720" w:hanging="720"/>
        <w:jc w:val="left"/>
        <w:rPr>
          <w:rFonts w:ascii="Times New Roman" w:hAnsi="Times New Roman"/>
          <w:sz w:val="24"/>
        </w:rPr>
      </w:pPr>
      <w:r>
        <w:rPr>
          <w:rFonts w:ascii="Times New Roman" w:hAnsi="Times New Roman"/>
          <w:sz w:val="24"/>
        </w:rPr>
        <w:lastRenderedPageBreak/>
        <w:t>19</w:t>
      </w:r>
      <w:r w:rsidR="00775555">
        <w:rPr>
          <w:rFonts w:ascii="Times New Roman" w:hAnsi="Times New Roman"/>
          <w:sz w:val="24"/>
        </w:rPr>
        <w:t>.</w:t>
      </w:r>
      <w:r w:rsidR="00775555">
        <w:rPr>
          <w:rFonts w:ascii="Times New Roman" w:hAnsi="Times New Roman"/>
          <w:sz w:val="24"/>
        </w:rPr>
        <w:tab/>
      </w:r>
      <w:r w:rsidR="002C18FD">
        <w:rPr>
          <w:rFonts w:ascii="Times New Roman" w:hAnsi="Times New Roman"/>
          <w:sz w:val="24"/>
        </w:rPr>
        <w:t xml:space="preserve">Individual </w:t>
      </w:r>
      <w:r w:rsidR="00AF591A">
        <w:rPr>
          <w:rFonts w:ascii="Times New Roman" w:hAnsi="Times New Roman"/>
          <w:sz w:val="24"/>
        </w:rPr>
        <w:t>and corporate taxpayers may have net operating losses (NOLs)</w:t>
      </w:r>
      <w:r w:rsidR="00960E1F">
        <w:rPr>
          <w:rFonts w:ascii="Times New Roman" w:hAnsi="Times New Roman"/>
          <w:sz w:val="24"/>
        </w:rPr>
        <w:t xml:space="preserve"> that can be </w:t>
      </w:r>
      <w:r w:rsidR="00EB1FE9" w:rsidRPr="005932A9">
        <w:rPr>
          <w:rFonts w:ascii="Times New Roman" w:hAnsi="Times New Roman"/>
          <w:sz w:val="24"/>
        </w:rPr>
        <w:t>carried back 2 years and forward 20 years to offset taxable income.</w:t>
      </w:r>
    </w:p>
    <w:p w:rsidR="00AF591A" w:rsidRDefault="00AF591A" w:rsidP="002E04A8">
      <w:pPr>
        <w:pStyle w:val="linebeforequestion"/>
        <w:tabs>
          <w:tab w:val="clear" w:pos="1296"/>
          <w:tab w:val="left" w:pos="1440"/>
        </w:tabs>
        <w:ind w:left="1440" w:hanging="1440"/>
        <w:jc w:val="left"/>
        <w:rPr>
          <w:rFonts w:ascii="Times New Roman" w:hAnsi="Times New Roman"/>
          <w:sz w:val="24"/>
        </w:rPr>
      </w:pPr>
    </w:p>
    <w:p w:rsidR="00775555" w:rsidRDefault="00775555" w:rsidP="002E04A8">
      <w:pPr>
        <w:tabs>
          <w:tab w:val="left" w:pos="720"/>
        </w:tabs>
        <w:spacing w:line="240" w:lineRule="exact"/>
        <w:ind w:left="1440" w:hanging="720"/>
      </w:pPr>
      <w:r>
        <w:t>a.</w:t>
      </w:r>
      <w:r>
        <w:tab/>
      </w:r>
      <w:r w:rsidR="00960E1F">
        <w:t>C</w:t>
      </w:r>
      <w:r>
        <w:t>orporation</w:t>
      </w:r>
      <w:r w:rsidR="00960E1F">
        <w:t>s</w:t>
      </w:r>
      <w:r>
        <w:t xml:space="preserve"> do not adjust </w:t>
      </w:r>
      <w:r w:rsidR="00960E1F">
        <w:t xml:space="preserve">their </w:t>
      </w:r>
      <w:r>
        <w:t>tax loss</w:t>
      </w:r>
      <w:r w:rsidR="00960E1F">
        <w:t>es</w:t>
      </w:r>
      <w:r>
        <w:t xml:space="preserve"> for </w:t>
      </w:r>
      <w:r w:rsidR="00960E1F">
        <w:t xml:space="preserve">capital </w:t>
      </w:r>
      <w:r>
        <w:t>losses as individual</w:t>
      </w:r>
      <w:r w:rsidR="00960E1F">
        <w:t>s do.</w:t>
      </w:r>
    </w:p>
    <w:p w:rsidR="00775555" w:rsidRDefault="00775555" w:rsidP="002E04A8">
      <w:pPr>
        <w:tabs>
          <w:tab w:val="left" w:pos="720"/>
          <w:tab w:val="left" w:pos="2160"/>
        </w:tabs>
        <w:spacing w:line="240" w:lineRule="exact"/>
        <w:ind w:left="2160" w:hanging="720"/>
      </w:pPr>
    </w:p>
    <w:p w:rsidR="00775555" w:rsidRDefault="00960E1F" w:rsidP="002E04A8">
      <w:pPr>
        <w:tabs>
          <w:tab w:val="left" w:pos="720"/>
        </w:tabs>
        <w:spacing w:line="240" w:lineRule="exact"/>
        <w:ind w:left="1440" w:hanging="720"/>
      </w:pPr>
      <w:r>
        <w:t>b.</w:t>
      </w:r>
      <w:r>
        <w:tab/>
        <w:t>C</w:t>
      </w:r>
      <w:r w:rsidR="00775555">
        <w:t>orporation</w:t>
      </w:r>
      <w:r w:rsidR="00B0092F">
        <w:t>s</w:t>
      </w:r>
      <w:r w:rsidR="00775555">
        <w:t xml:space="preserve"> do not make adjustments fo</w:t>
      </w:r>
      <w:r>
        <w:t xml:space="preserve">r nonbusiness deductions or for </w:t>
      </w:r>
      <w:r w:rsidR="00775555">
        <w:t>personal exemptions as individual</w:t>
      </w:r>
      <w:r>
        <w:t>s</w:t>
      </w:r>
      <w:r w:rsidR="00775555">
        <w:t xml:space="preserve"> </w:t>
      </w:r>
      <w:r>
        <w:t>do</w:t>
      </w:r>
      <w:r w:rsidR="00775555">
        <w:t>.</w:t>
      </w:r>
    </w:p>
    <w:p w:rsidR="00775555" w:rsidRDefault="00775555" w:rsidP="002E04A8">
      <w:pPr>
        <w:spacing w:line="240" w:lineRule="exact"/>
      </w:pPr>
    </w:p>
    <w:p w:rsidR="00775555" w:rsidRDefault="00960E1F" w:rsidP="002E04A8">
      <w:pPr>
        <w:pStyle w:val="Subpartsanswer"/>
        <w:tabs>
          <w:tab w:val="clear" w:pos="1296"/>
          <w:tab w:val="left" w:pos="1440"/>
        </w:tabs>
        <w:ind w:left="1440" w:hanging="720"/>
        <w:jc w:val="left"/>
        <w:rPr>
          <w:rFonts w:ascii="Times New Roman" w:hAnsi="Times New Roman"/>
          <w:sz w:val="24"/>
        </w:rPr>
      </w:pPr>
      <w:r>
        <w:rPr>
          <w:rFonts w:ascii="Times New Roman" w:hAnsi="Times New Roman"/>
          <w:sz w:val="24"/>
        </w:rPr>
        <w:t>c</w:t>
      </w:r>
      <w:r w:rsidR="00060E5F">
        <w:rPr>
          <w:rFonts w:ascii="Times New Roman" w:hAnsi="Times New Roman"/>
          <w:sz w:val="24"/>
        </w:rPr>
        <w:t>.</w:t>
      </w:r>
      <w:r w:rsidR="00060E5F">
        <w:rPr>
          <w:rFonts w:ascii="Times New Roman" w:hAnsi="Times New Roman"/>
          <w:sz w:val="24"/>
        </w:rPr>
        <w:tab/>
      </w:r>
      <w:r>
        <w:rPr>
          <w:rFonts w:ascii="Times New Roman" w:hAnsi="Times New Roman"/>
          <w:sz w:val="24"/>
        </w:rPr>
        <w:t>C</w:t>
      </w:r>
      <w:r w:rsidR="00775555">
        <w:rPr>
          <w:rFonts w:ascii="Times New Roman" w:hAnsi="Times New Roman"/>
          <w:sz w:val="24"/>
        </w:rPr>
        <w:t>orporation</w:t>
      </w:r>
      <w:r>
        <w:rPr>
          <w:rFonts w:ascii="Times New Roman" w:hAnsi="Times New Roman"/>
          <w:sz w:val="24"/>
        </w:rPr>
        <w:t>s</w:t>
      </w:r>
      <w:r w:rsidR="00775555">
        <w:rPr>
          <w:rFonts w:ascii="Times New Roman" w:hAnsi="Times New Roman"/>
          <w:sz w:val="24"/>
        </w:rPr>
        <w:t xml:space="preserve"> include the</w:t>
      </w:r>
      <w:r>
        <w:rPr>
          <w:rFonts w:ascii="Times New Roman" w:hAnsi="Times New Roman"/>
          <w:sz w:val="24"/>
        </w:rPr>
        <w:t>ir</w:t>
      </w:r>
      <w:r w:rsidR="00775555">
        <w:rPr>
          <w:rFonts w:ascii="Times New Roman" w:hAnsi="Times New Roman"/>
          <w:sz w:val="24"/>
        </w:rPr>
        <w:t xml:space="preserve"> dividends received deduction in computing </w:t>
      </w:r>
      <w:r>
        <w:rPr>
          <w:rFonts w:ascii="Times New Roman" w:hAnsi="Times New Roman"/>
          <w:sz w:val="24"/>
        </w:rPr>
        <w:t>the NOL</w:t>
      </w:r>
      <w:r w:rsidR="00775555">
        <w:rPr>
          <w:rFonts w:ascii="Times New Roman" w:hAnsi="Times New Roman"/>
          <w:sz w:val="24"/>
        </w:rPr>
        <w:t>.</w:t>
      </w:r>
      <w:r w:rsidR="00775555">
        <w:rPr>
          <w:rFonts w:ascii="Times New Roman" w:hAnsi="Times New Roman"/>
          <w:sz w:val="24"/>
        </w:rPr>
        <w:tab/>
      </w:r>
    </w:p>
    <w:p w:rsidR="001C445A" w:rsidRDefault="001C445A" w:rsidP="002E04A8">
      <w:pPr>
        <w:pStyle w:val="Subpartsanswer"/>
        <w:tabs>
          <w:tab w:val="clear" w:pos="1296"/>
          <w:tab w:val="left" w:pos="1440"/>
        </w:tabs>
        <w:ind w:left="1440" w:hanging="720"/>
        <w:jc w:val="left"/>
        <w:rPr>
          <w:rFonts w:ascii="Times New Roman" w:hAnsi="Times New Roman"/>
          <w:sz w:val="24"/>
        </w:rPr>
      </w:pPr>
    </w:p>
    <w:p w:rsidR="001C445A" w:rsidRDefault="001C445A" w:rsidP="002E04A8">
      <w:pPr>
        <w:pStyle w:val="Subpartsanswer"/>
        <w:tabs>
          <w:tab w:val="clear" w:pos="1296"/>
          <w:tab w:val="left" w:pos="1440"/>
        </w:tabs>
        <w:ind w:left="1440" w:hanging="720"/>
        <w:jc w:val="left"/>
        <w:rPr>
          <w:rFonts w:ascii="Times New Roman" w:hAnsi="Times New Roman"/>
          <w:sz w:val="24"/>
        </w:rPr>
      </w:pPr>
      <w:r>
        <w:rPr>
          <w:rFonts w:ascii="Times New Roman" w:hAnsi="Times New Roman"/>
          <w:sz w:val="24"/>
        </w:rPr>
        <w:t>d.</w:t>
      </w:r>
      <w:r>
        <w:rPr>
          <w:rFonts w:ascii="Times New Roman" w:hAnsi="Times New Roman"/>
          <w:sz w:val="24"/>
        </w:rPr>
        <w:tab/>
        <w:t>Like individuals, corporations may elect to forgo the carryback period.</w:t>
      </w:r>
    </w:p>
    <w:p w:rsidR="00261F6C" w:rsidRDefault="00261F6C" w:rsidP="002E04A8">
      <w:pPr>
        <w:pStyle w:val="Subpartsanswer"/>
        <w:tabs>
          <w:tab w:val="clear" w:pos="1296"/>
          <w:tab w:val="left" w:pos="1440"/>
        </w:tabs>
        <w:ind w:left="1440" w:hanging="720"/>
        <w:jc w:val="left"/>
        <w:rPr>
          <w:rFonts w:ascii="Times New Roman" w:hAnsi="Times New Roman"/>
          <w:sz w:val="24"/>
        </w:rPr>
      </w:pPr>
    </w:p>
    <w:p w:rsidR="00775555" w:rsidRPr="005932A9" w:rsidRDefault="00775555" w:rsidP="002E04A8">
      <w:pPr>
        <w:spacing w:line="240" w:lineRule="exact"/>
      </w:pPr>
    </w:p>
    <w:p w:rsidR="00775555" w:rsidRPr="005932A9" w:rsidRDefault="007D43F4" w:rsidP="002E04A8">
      <w:pPr>
        <w:pStyle w:val="mainanswerparagraph"/>
        <w:jc w:val="left"/>
        <w:rPr>
          <w:rFonts w:ascii="Times New Roman" w:hAnsi="Times New Roman"/>
          <w:b/>
          <w:sz w:val="24"/>
        </w:rPr>
      </w:pPr>
      <w:r w:rsidRPr="005932A9">
        <w:rPr>
          <w:rFonts w:ascii="Times New Roman" w:hAnsi="Times New Roman"/>
          <w:b/>
          <w:sz w:val="24"/>
        </w:rPr>
        <w:t>Deductions Available Only to Corporations</w:t>
      </w:r>
    </w:p>
    <w:p w:rsidR="00775555" w:rsidRPr="005932A9" w:rsidRDefault="00775555" w:rsidP="002E04A8">
      <w:pPr>
        <w:spacing w:line="240" w:lineRule="exact"/>
      </w:pPr>
    </w:p>
    <w:p w:rsidR="00775555" w:rsidRPr="005932A9" w:rsidRDefault="002D4CEF" w:rsidP="002E04A8">
      <w:pPr>
        <w:pStyle w:val="mainanswerparagraph"/>
        <w:jc w:val="left"/>
        <w:rPr>
          <w:rFonts w:ascii="Times New Roman" w:hAnsi="Times New Roman"/>
          <w:sz w:val="24"/>
        </w:rPr>
      </w:pPr>
      <w:r>
        <w:rPr>
          <w:rFonts w:ascii="Times New Roman" w:hAnsi="Times New Roman"/>
          <w:sz w:val="24"/>
        </w:rPr>
        <w:t>20</w:t>
      </w:r>
      <w:r w:rsidR="00315D41" w:rsidRPr="005932A9">
        <w:rPr>
          <w:rFonts w:ascii="Times New Roman" w:hAnsi="Times New Roman"/>
          <w:sz w:val="24"/>
        </w:rPr>
        <w:t>.</w:t>
      </w:r>
      <w:r w:rsidR="00315D41" w:rsidRPr="005932A9">
        <w:rPr>
          <w:rFonts w:ascii="Times New Roman" w:hAnsi="Times New Roman"/>
          <w:sz w:val="24"/>
        </w:rPr>
        <w:tab/>
      </w:r>
      <w:r w:rsidR="00960E1F">
        <w:rPr>
          <w:rFonts w:ascii="Times New Roman" w:hAnsi="Times New Roman"/>
          <w:sz w:val="24"/>
        </w:rPr>
        <w:t>D</w:t>
      </w:r>
      <w:r w:rsidR="00775555" w:rsidRPr="005932A9">
        <w:rPr>
          <w:rFonts w:ascii="Times New Roman" w:hAnsi="Times New Roman"/>
          <w:sz w:val="24"/>
        </w:rPr>
        <w:t xml:space="preserve">ividends </w:t>
      </w:r>
      <w:r w:rsidR="00A20990">
        <w:rPr>
          <w:rFonts w:ascii="Times New Roman" w:hAnsi="Times New Roman"/>
          <w:sz w:val="24"/>
        </w:rPr>
        <w:t>R</w:t>
      </w:r>
      <w:r w:rsidR="00775555" w:rsidRPr="005932A9">
        <w:rPr>
          <w:rFonts w:ascii="Times New Roman" w:hAnsi="Times New Roman"/>
          <w:sz w:val="24"/>
        </w:rPr>
        <w:t xml:space="preserve">eceived </w:t>
      </w:r>
      <w:r w:rsidR="00A20990">
        <w:rPr>
          <w:rFonts w:ascii="Times New Roman" w:hAnsi="Times New Roman"/>
          <w:sz w:val="24"/>
        </w:rPr>
        <w:t>D</w:t>
      </w:r>
      <w:r w:rsidR="00775555" w:rsidRPr="005932A9">
        <w:rPr>
          <w:rFonts w:ascii="Times New Roman" w:hAnsi="Times New Roman"/>
          <w:sz w:val="24"/>
        </w:rPr>
        <w:t>eduction</w:t>
      </w:r>
      <w:r w:rsidR="001B2ECF">
        <w:rPr>
          <w:rFonts w:ascii="Times New Roman" w:hAnsi="Times New Roman"/>
          <w:sz w:val="24"/>
        </w:rPr>
        <w:t xml:space="preserve"> (DRD)</w:t>
      </w:r>
      <w:r w:rsidR="00960E1F">
        <w:rPr>
          <w:rFonts w:ascii="Times New Roman" w:hAnsi="Times New Roman"/>
          <w:sz w:val="24"/>
        </w:rPr>
        <w:t>. F</w:t>
      </w:r>
      <w:r w:rsidR="00775555" w:rsidRPr="005932A9">
        <w:rPr>
          <w:rFonts w:ascii="Times New Roman" w:hAnsi="Times New Roman"/>
          <w:sz w:val="24"/>
        </w:rPr>
        <w:t xml:space="preserve">or dividend distributions </w:t>
      </w:r>
      <w:r w:rsidR="00960E1F">
        <w:rPr>
          <w:rFonts w:ascii="Times New Roman" w:hAnsi="Times New Roman"/>
          <w:sz w:val="24"/>
        </w:rPr>
        <w:t xml:space="preserve">received </w:t>
      </w:r>
      <w:r w:rsidR="00775555" w:rsidRPr="005932A9">
        <w:rPr>
          <w:rFonts w:ascii="Times New Roman" w:hAnsi="Times New Roman"/>
          <w:sz w:val="24"/>
        </w:rPr>
        <w:t>from other domestic corporations.</w:t>
      </w:r>
    </w:p>
    <w:p w:rsidR="00775555" w:rsidRPr="005932A9" w:rsidRDefault="00775555" w:rsidP="002E04A8">
      <w:pPr>
        <w:pStyle w:val="mainanswerparagraph"/>
        <w:jc w:val="left"/>
        <w:rPr>
          <w:rFonts w:ascii="Times New Roman" w:hAnsi="Times New Roman"/>
          <w:sz w:val="24"/>
        </w:rPr>
      </w:pPr>
    </w:p>
    <w:p w:rsidR="00775555" w:rsidRPr="005932A9" w:rsidRDefault="00775555" w:rsidP="002E04A8">
      <w:pPr>
        <w:pStyle w:val="Subpartsanswer"/>
        <w:tabs>
          <w:tab w:val="clear" w:pos="1296"/>
          <w:tab w:val="left" w:pos="1440"/>
        </w:tabs>
        <w:ind w:left="1440" w:hanging="720"/>
        <w:jc w:val="left"/>
        <w:rPr>
          <w:rFonts w:ascii="Times New Roman" w:hAnsi="Times New Roman"/>
          <w:sz w:val="24"/>
        </w:rPr>
      </w:pPr>
      <w:r w:rsidRPr="005932A9">
        <w:rPr>
          <w:rFonts w:ascii="Times New Roman" w:hAnsi="Times New Roman"/>
          <w:sz w:val="24"/>
        </w:rPr>
        <w:t>a.</w:t>
      </w:r>
      <w:r w:rsidRPr="005932A9">
        <w:rPr>
          <w:rFonts w:ascii="Times New Roman" w:hAnsi="Times New Roman"/>
          <w:sz w:val="24"/>
        </w:rPr>
        <w:tab/>
      </w:r>
      <w:r w:rsidR="009E73A0">
        <w:rPr>
          <w:rFonts w:ascii="Times New Roman" w:hAnsi="Times New Roman"/>
          <w:sz w:val="24"/>
        </w:rPr>
        <w:t>P</w:t>
      </w:r>
      <w:r w:rsidRPr="005932A9">
        <w:rPr>
          <w:rFonts w:ascii="Times New Roman" w:hAnsi="Times New Roman"/>
          <w:sz w:val="24"/>
        </w:rPr>
        <w:t xml:space="preserve">urpose of </w:t>
      </w:r>
      <w:r w:rsidR="001B2ECF">
        <w:rPr>
          <w:rFonts w:ascii="Times New Roman" w:hAnsi="Times New Roman"/>
          <w:sz w:val="24"/>
        </w:rPr>
        <w:t>DRD</w:t>
      </w:r>
      <w:r w:rsidRPr="005932A9">
        <w:rPr>
          <w:rFonts w:ascii="Times New Roman" w:hAnsi="Times New Roman"/>
          <w:sz w:val="24"/>
        </w:rPr>
        <w:t xml:space="preserve"> is to mitigate (or eliminate) the triple taxation of corporate-source income.</w:t>
      </w:r>
    </w:p>
    <w:p w:rsidR="00775555" w:rsidRDefault="00775555" w:rsidP="002E04A8">
      <w:pPr>
        <w:tabs>
          <w:tab w:val="left" w:pos="720"/>
          <w:tab w:val="left" w:pos="1440"/>
          <w:tab w:val="left" w:pos="1584"/>
          <w:tab w:val="right" w:pos="8640"/>
        </w:tabs>
        <w:spacing w:line="240" w:lineRule="exact"/>
        <w:ind w:left="1440" w:hanging="720"/>
      </w:pPr>
    </w:p>
    <w:p w:rsidR="00775555" w:rsidRDefault="00775555" w:rsidP="002E04A8">
      <w:pPr>
        <w:tabs>
          <w:tab w:val="left" w:pos="720"/>
          <w:tab w:val="left" w:pos="1440"/>
          <w:tab w:val="left" w:pos="1584"/>
          <w:tab w:val="right" w:pos="8640"/>
        </w:tabs>
        <w:spacing w:line="240" w:lineRule="exact"/>
        <w:ind w:left="1440" w:hanging="720"/>
      </w:pPr>
      <w:r>
        <w:t>b.</w:t>
      </w:r>
      <w:r>
        <w:tab/>
      </w:r>
      <w:r w:rsidR="009E73A0">
        <w:t>A</w:t>
      </w:r>
      <w:r>
        <w:t xml:space="preserve">mount of </w:t>
      </w:r>
      <w:r w:rsidR="001B2ECF">
        <w:t xml:space="preserve">DRD </w:t>
      </w:r>
      <w:r w:rsidR="009E73A0">
        <w:t>is limited as follows.</w:t>
      </w:r>
    </w:p>
    <w:p w:rsidR="007C306C" w:rsidRDefault="00775555" w:rsidP="002E04A8">
      <w:pPr>
        <w:pStyle w:val="Heading2"/>
      </w:pPr>
      <w:r>
        <w:tab/>
      </w:r>
    </w:p>
    <w:tbl>
      <w:tblPr>
        <w:tblW w:w="0" w:type="auto"/>
        <w:tblInd w:w="1548" w:type="dxa"/>
        <w:tblLook w:val="04A0" w:firstRow="1" w:lastRow="0" w:firstColumn="1" w:lastColumn="0" w:noHBand="0" w:noVBand="1"/>
      </w:tblPr>
      <w:tblGrid>
        <w:gridCol w:w="5040"/>
        <w:gridCol w:w="1530"/>
      </w:tblGrid>
      <w:tr w:rsidR="007C306C" w:rsidTr="00614BE9">
        <w:trPr>
          <w:trHeight w:val="657"/>
        </w:trPr>
        <w:tc>
          <w:tcPr>
            <w:tcW w:w="5040" w:type="dxa"/>
          </w:tcPr>
          <w:p w:rsidR="007C306C" w:rsidRDefault="007C306C" w:rsidP="007C306C">
            <w:r>
              <w:t xml:space="preserve">Percentage of Ownership </w:t>
            </w:r>
          </w:p>
          <w:p w:rsidR="007C306C" w:rsidRPr="00863C77" w:rsidRDefault="007C306C" w:rsidP="007C306C">
            <w:pPr>
              <w:rPr>
                <w:u w:val="single"/>
              </w:rPr>
            </w:pPr>
            <w:r w:rsidRPr="00863C77">
              <w:rPr>
                <w:u w:val="single"/>
              </w:rPr>
              <w:t>by Corporation Shareholder</w:t>
            </w:r>
          </w:p>
        </w:tc>
        <w:tc>
          <w:tcPr>
            <w:tcW w:w="1530" w:type="dxa"/>
          </w:tcPr>
          <w:p w:rsidR="007C306C" w:rsidRPr="007C306C" w:rsidRDefault="007C306C" w:rsidP="007C306C">
            <w:r w:rsidRPr="007C306C">
              <w:t>Deduction</w:t>
            </w:r>
          </w:p>
          <w:p w:rsidR="007C306C" w:rsidRPr="00863C77" w:rsidRDefault="007C306C" w:rsidP="00614BE9">
            <w:pPr>
              <w:rPr>
                <w:u w:val="single"/>
              </w:rPr>
            </w:pPr>
            <w:r w:rsidRPr="00863C77">
              <w:rPr>
                <w:u w:val="single"/>
              </w:rPr>
              <w:t>Percen</w:t>
            </w:r>
            <w:r w:rsidR="00614BE9">
              <w:rPr>
                <w:u w:val="single"/>
              </w:rPr>
              <w:t>t</w:t>
            </w:r>
            <w:r w:rsidRPr="00863C77">
              <w:rPr>
                <w:u w:val="single"/>
              </w:rPr>
              <w:t>age</w:t>
            </w:r>
          </w:p>
        </w:tc>
      </w:tr>
      <w:tr w:rsidR="007C306C" w:rsidTr="00614BE9">
        <w:tc>
          <w:tcPr>
            <w:tcW w:w="5040" w:type="dxa"/>
          </w:tcPr>
          <w:p w:rsidR="007C306C" w:rsidRDefault="007C306C" w:rsidP="007C306C">
            <w:r>
              <w:t>Less than 20%</w:t>
            </w:r>
          </w:p>
        </w:tc>
        <w:tc>
          <w:tcPr>
            <w:tcW w:w="1530" w:type="dxa"/>
          </w:tcPr>
          <w:p w:rsidR="007C306C" w:rsidRDefault="007C306C" w:rsidP="00614BE9">
            <w:pPr>
              <w:jc w:val="center"/>
            </w:pPr>
            <w:r>
              <w:t>70%</w:t>
            </w:r>
          </w:p>
        </w:tc>
      </w:tr>
      <w:tr w:rsidR="007C306C" w:rsidTr="00614BE9">
        <w:tc>
          <w:tcPr>
            <w:tcW w:w="5040" w:type="dxa"/>
          </w:tcPr>
          <w:p w:rsidR="007C306C" w:rsidRDefault="007C306C" w:rsidP="007C306C">
            <w:r>
              <w:t>20% or more but less than 80%</w:t>
            </w:r>
          </w:p>
        </w:tc>
        <w:tc>
          <w:tcPr>
            <w:tcW w:w="1530" w:type="dxa"/>
          </w:tcPr>
          <w:p w:rsidR="007C306C" w:rsidRDefault="007C306C" w:rsidP="00614BE9">
            <w:pPr>
              <w:jc w:val="center"/>
            </w:pPr>
            <w:r>
              <w:t>80%</w:t>
            </w:r>
          </w:p>
        </w:tc>
      </w:tr>
      <w:tr w:rsidR="007C306C" w:rsidTr="00614BE9">
        <w:tc>
          <w:tcPr>
            <w:tcW w:w="5040" w:type="dxa"/>
          </w:tcPr>
          <w:p w:rsidR="007C306C" w:rsidRDefault="007C306C" w:rsidP="007C306C">
            <w:r>
              <w:t xml:space="preserve">80% or more and </w:t>
            </w:r>
            <w:proofErr w:type="spellStart"/>
            <w:r>
              <w:t>payor</w:t>
            </w:r>
            <w:proofErr w:type="spellEnd"/>
            <w:r>
              <w:t xml:space="preserve"> corporation is a member of an affiliated group with the payee corporation</w:t>
            </w:r>
          </w:p>
        </w:tc>
        <w:tc>
          <w:tcPr>
            <w:tcW w:w="1530" w:type="dxa"/>
          </w:tcPr>
          <w:p w:rsidR="007C306C" w:rsidRDefault="007C306C" w:rsidP="00614BE9">
            <w:pPr>
              <w:jc w:val="center"/>
            </w:pPr>
          </w:p>
          <w:p w:rsidR="007C306C" w:rsidRDefault="007C306C" w:rsidP="00614BE9">
            <w:pPr>
              <w:jc w:val="center"/>
            </w:pPr>
            <w:r>
              <w:t>100%</w:t>
            </w:r>
          </w:p>
        </w:tc>
      </w:tr>
    </w:tbl>
    <w:p w:rsidR="00B93203" w:rsidRDefault="003E6B84" w:rsidP="002E04A8">
      <w:pPr>
        <w:tabs>
          <w:tab w:val="left" w:pos="720"/>
          <w:tab w:val="left" w:pos="1440"/>
          <w:tab w:val="left" w:pos="1800"/>
          <w:tab w:val="right" w:pos="8640"/>
        </w:tabs>
        <w:spacing w:line="240" w:lineRule="exact"/>
        <w:ind w:left="1440" w:hanging="720"/>
      </w:pPr>
      <w:r>
        <w:tab/>
      </w:r>
    </w:p>
    <w:p w:rsidR="003E6B84" w:rsidRDefault="00B93203" w:rsidP="002E04A8">
      <w:pPr>
        <w:tabs>
          <w:tab w:val="left" w:pos="720"/>
          <w:tab w:val="left" w:pos="1440"/>
          <w:tab w:val="left" w:pos="1800"/>
          <w:tab w:val="right" w:pos="8640"/>
        </w:tabs>
        <w:spacing w:line="240" w:lineRule="exact"/>
        <w:ind w:left="1440" w:hanging="720"/>
      </w:pPr>
      <w:r>
        <w:tab/>
      </w:r>
      <w:proofErr w:type="gramStart"/>
      <w:r w:rsidR="003E6B84" w:rsidRPr="003E6B84">
        <w:t>Example.</w:t>
      </w:r>
      <w:proofErr w:type="gramEnd"/>
      <w:r w:rsidR="00536955">
        <w:t xml:space="preserve"> </w:t>
      </w:r>
      <w:r w:rsidR="003E6B84">
        <w:t>Dur</w:t>
      </w:r>
      <w:r w:rsidR="0097393D">
        <w:t>ing all of the current year</w:t>
      </w:r>
      <w:r w:rsidR="003E6B84">
        <w:t>, Silver Corporation (a calendar taxpayer) owned 4% of Bronze Corporation and 21% of Copper Corporation.</w:t>
      </w:r>
      <w:r w:rsidR="00536955">
        <w:t xml:space="preserve"> </w:t>
      </w:r>
      <w:r w:rsidR="003E6B84">
        <w:t>Dividends received are:</w:t>
      </w:r>
      <w:r w:rsidR="00536955">
        <w:t xml:space="preserve"> </w:t>
      </w:r>
      <w:r w:rsidR="003E6B84">
        <w:t>$50,000 from Bronze Corporation and $100,000 from Copper Corporation.</w:t>
      </w:r>
      <w:r w:rsidR="00536955">
        <w:t xml:space="preserve"> </w:t>
      </w:r>
      <w:r w:rsidR="003E6B84">
        <w:t xml:space="preserve">Presuming the percentage of taxable income limitation does not apply, </w:t>
      </w:r>
      <w:r w:rsidR="007C6D85">
        <w:t>DRD =$115,000</w:t>
      </w:r>
      <w:r w:rsidR="003E6B84">
        <w:t xml:space="preserve"> </w:t>
      </w:r>
      <w:r w:rsidR="007C6D85">
        <w:t>[</w:t>
      </w:r>
      <w:r w:rsidR="003E6B84">
        <w:t>(70% X $50,000)</w:t>
      </w:r>
      <w:r w:rsidR="007C6D85">
        <w:t xml:space="preserve"> +</w:t>
      </w:r>
      <w:r w:rsidR="003E6B84">
        <w:t xml:space="preserve"> $80,000 (80% X $100,000)</w:t>
      </w:r>
      <w:r w:rsidR="007C6D85">
        <w:t>].</w:t>
      </w:r>
    </w:p>
    <w:p w:rsidR="00775555" w:rsidRPr="005932A9" w:rsidRDefault="00002ED0" w:rsidP="002E04A8">
      <w:pPr>
        <w:pStyle w:val="subanswerblockpara"/>
        <w:tabs>
          <w:tab w:val="clear" w:pos="1296"/>
        </w:tabs>
        <w:ind w:left="1440" w:hanging="720"/>
        <w:jc w:val="left"/>
        <w:rPr>
          <w:rFonts w:ascii="Times New Roman" w:hAnsi="Times New Roman"/>
          <w:sz w:val="24"/>
        </w:rPr>
      </w:pPr>
      <w:r>
        <w:rPr>
          <w:rFonts w:ascii="Times New Roman" w:hAnsi="Times New Roman"/>
          <w:sz w:val="24"/>
        </w:rPr>
        <w:tab/>
      </w:r>
    </w:p>
    <w:p w:rsidR="00E30DB8" w:rsidRDefault="00960E1F" w:rsidP="002E04A8">
      <w:pPr>
        <w:pStyle w:val="Subpartsanswer"/>
        <w:tabs>
          <w:tab w:val="clear" w:pos="1296"/>
          <w:tab w:val="left" w:pos="1440"/>
        </w:tabs>
        <w:ind w:left="1440" w:hanging="720"/>
        <w:jc w:val="left"/>
        <w:rPr>
          <w:rFonts w:ascii="Times New Roman" w:hAnsi="Times New Roman"/>
          <w:sz w:val="24"/>
        </w:rPr>
      </w:pPr>
      <w:r>
        <w:rPr>
          <w:rFonts w:ascii="Times New Roman" w:hAnsi="Times New Roman"/>
          <w:sz w:val="24"/>
        </w:rPr>
        <w:t>c</w:t>
      </w:r>
      <w:r w:rsidR="00775555" w:rsidRPr="005932A9">
        <w:rPr>
          <w:rFonts w:ascii="Times New Roman" w:hAnsi="Times New Roman"/>
          <w:sz w:val="24"/>
        </w:rPr>
        <w:t>.</w:t>
      </w:r>
      <w:r w:rsidR="00775555" w:rsidRPr="005932A9">
        <w:rPr>
          <w:rFonts w:ascii="Times New Roman" w:hAnsi="Times New Roman"/>
          <w:sz w:val="24"/>
        </w:rPr>
        <w:tab/>
      </w:r>
      <w:r w:rsidR="008D7E6A">
        <w:rPr>
          <w:rFonts w:ascii="Times New Roman" w:hAnsi="Times New Roman"/>
          <w:sz w:val="24"/>
        </w:rPr>
        <w:t>D</w:t>
      </w:r>
      <w:r w:rsidR="00634F63">
        <w:rPr>
          <w:rFonts w:ascii="Times New Roman" w:hAnsi="Times New Roman"/>
          <w:sz w:val="24"/>
        </w:rPr>
        <w:t>RD</w:t>
      </w:r>
      <w:r w:rsidR="00775555" w:rsidRPr="005932A9">
        <w:rPr>
          <w:rFonts w:ascii="Times New Roman" w:hAnsi="Times New Roman"/>
          <w:sz w:val="24"/>
        </w:rPr>
        <w:t xml:space="preserve"> is limited to a percentage of the taxable income</w:t>
      </w:r>
      <w:r w:rsidR="00585A08">
        <w:rPr>
          <w:rFonts w:ascii="Times New Roman" w:hAnsi="Times New Roman"/>
          <w:sz w:val="24"/>
        </w:rPr>
        <w:t>.</w:t>
      </w:r>
    </w:p>
    <w:p w:rsidR="00E30DB8" w:rsidRDefault="00E30DB8" w:rsidP="002E04A8">
      <w:pPr>
        <w:pStyle w:val="Subpartsanswer"/>
        <w:tabs>
          <w:tab w:val="clear" w:pos="1296"/>
          <w:tab w:val="left" w:pos="1440"/>
        </w:tabs>
        <w:ind w:left="1440" w:hanging="720"/>
        <w:jc w:val="left"/>
        <w:rPr>
          <w:rFonts w:ascii="Times New Roman" w:hAnsi="Times New Roman"/>
          <w:sz w:val="24"/>
        </w:rPr>
      </w:pPr>
    </w:p>
    <w:p w:rsidR="00E30DB8" w:rsidRDefault="00E30DB8" w:rsidP="002E04A8">
      <w:pPr>
        <w:pStyle w:val="Subpartsanswer"/>
        <w:tabs>
          <w:tab w:val="clear" w:pos="1296"/>
          <w:tab w:val="left" w:pos="1440"/>
        </w:tabs>
        <w:ind w:left="2160" w:hanging="1440"/>
        <w:jc w:val="left"/>
        <w:rPr>
          <w:rFonts w:ascii="Times New Roman" w:hAnsi="Times New Roman"/>
          <w:sz w:val="24"/>
        </w:rPr>
      </w:pPr>
      <w:r>
        <w:rPr>
          <w:rFonts w:ascii="Times New Roman" w:hAnsi="Times New Roman"/>
          <w:sz w:val="24"/>
        </w:rPr>
        <w:tab/>
        <w:t>(1)</w:t>
      </w:r>
      <w:r>
        <w:rPr>
          <w:rFonts w:ascii="Times New Roman" w:hAnsi="Times New Roman"/>
          <w:sz w:val="24"/>
        </w:rPr>
        <w:tab/>
        <w:t>C</w:t>
      </w:r>
      <w:r w:rsidR="00775555" w:rsidRPr="005932A9">
        <w:rPr>
          <w:rFonts w:ascii="Times New Roman" w:hAnsi="Times New Roman"/>
          <w:sz w:val="24"/>
        </w:rPr>
        <w:t>omputed without regard to the</w:t>
      </w:r>
      <w:r w:rsidR="00335C1B">
        <w:rPr>
          <w:rFonts w:ascii="Times New Roman" w:hAnsi="Times New Roman"/>
          <w:sz w:val="24"/>
        </w:rPr>
        <w:t xml:space="preserve"> NOL deduction</w:t>
      </w:r>
      <w:r w:rsidR="00775555" w:rsidRPr="005932A9">
        <w:rPr>
          <w:rFonts w:ascii="Times New Roman" w:hAnsi="Times New Roman"/>
          <w:sz w:val="24"/>
        </w:rPr>
        <w:t xml:space="preserve">, </w:t>
      </w:r>
      <w:r w:rsidR="0097393D">
        <w:rPr>
          <w:rFonts w:ascii="Times New Roman" w:hAnsi="Times New Roman"/>
          <w:sz w:val="24"/>
        </w:rPr>
        <w:t xml:space="preserve">DPAD, </w:t>
      </w:r>
      <w:r w:rsidR="00335C1B">
        <w:rPr>
          <w:rFonts w:ascii="Times New Roman" w:hAnsi="Times New Roman"/>
          <w:sz w:val="24"/>
        </w:rPr>
        <w:t>DRD</w:t>
      </w:r>
      <w:r w:rsidR="00775555" w:rsidRPr="005932A9">
        <w:rPr>
          <w:rFonts w:ascii="Times New Roman" w:hAnsi="Times New Roman"/>
          <w:sz w:val="24"/>
        </w:rPr>
        <w:t>, and any capital loss carryback to the current tax year.</w:t>
      </w:r>
      <w:r w:rsidR="00536955">
        <w:rPr>
          <w:rFonts w:ascii="Times New Roman" w:hAnsi="Times New Roman"/>
          <w:sz w:val="24"/>
        </w:rPr>
        <w:t xml:space="preserve"> </w:t>
      </w:r>
    </w:p>
    <w:p w:rsidR="00E30DB8" w:rsidRDefault="00E30DB8" w:rsidP="002E04A8">
      <w:pPr>
        <w:pStyle w:val="Subpartsanswer"/>
        <w:tabs>
          <w:tab w:val="clear" w:pos="1296"/>
          <w:tab w:val="left" w:pos="1440"/>
        </w:tabs>
        <w:ind w:left="1440" w:hanging="720"/>
        <w:jc w:val="left"/>
        <w:rPr>
          <w:rFonts w:ascii="Times New Roman" w:hAnsi="Times New Roman"/>
          <w:sz w:val="24"/>
        </w:rPr>
      </w:pPr>
    </w:p>
    <w:p w:rsidR="00775555" w:rsidRPr="005932A9" w:rsidRDefault="00E30DB8" w:rsidP="002E04A8">
      <w:pPr>
        <w:pStyle w:val="Subpartsanswer"/>
        <w:tabs>
          <w:tab w:val="clear" w:pos="1296"/>
          <w:tab w:val="left" w:pos="1440"/>
        </w:tabs>
        <w:ind w:left="2160" w:hanging="1440"/>
        <w:jc w:val="left"/>
        <w:rPr>
          <w:rFonts w:ascii="Times New Roman" w:hAnsi="Times New Roman"/>
          <w:sz w:val="24"/>
        </w:rPr>
      </w:pPr>
      <w:r>
        <w:rPr>
          <w:rFonts w:ascii="Times New Roman" w:hAnsi="Times New Roman"/>
          <w:sz w:val="24"/>
        </w:rPr>
        <w:tab/>
        <w:t>(2)</w:t>
      </w:r>
      <w:r>
        <w:rPr>
          <w:rFonts w:ascii="Times New Roman" w:hAnsi="Times New Roman"/>
          <w:sz w:val="24"/>
        </w:rPr>
        <w:tab/>
        <w:t>P</w:t>
      </w:r>
      <w:r w:rsidR="00775555" w:rsidRPr="005932A9">
        <w:rPr>
          <w:rFonts w:ascii="Times New Roman" w:hAnsi="Times New Roman"/>
          <w:sz w:val="24"/>
        </w:rPr>
        <w:t>ercentage of taxable income limitation corresponds to the deduction percentage.</w:t>
      </w:r>
    </w:p>
    <w:p w:rsidR="00775555" w:rsidRDefault="00775555" w:rsidP="002E04A8">
      <w:pPr>
        <w:pStyle w:val="tableparagraph"/>
        <w:rPr>
          <w:rFonts w:ascii="Times New Roman" w:hAnsi="Times New Roman"/>
          <w:sz w:val="24"/>
        </w:rPr>
      </w:pPr>
    </w:p>
    <w:p w:rsidR="00FC406E" w:rsidRDefault="00FC406E" w:rsidP="002E04A8">
      <w:pPr>
        <w:pStyle w:val="tableparagraph"/>
        <w:ind w:left="1440" w:hanging="288"/>
        <w:rPr>
          <w:rFonts w:ascii="Times New Roman" w:hAnsi="Times New Roman"/>
          <w:sz w:val="24"/>
        </w:rPr>
      </w:pPr>
      <w:r>
        <w:rPr>
          <w:rFonts w:ascii="Times New Roman" w:hAnsi="Times New Roman"/>
          <w:sz w:val="24"/>
        </w:rPr>
        <w:tab/>
      </w:r>
      <w:proofErr w:type="gramStart"/>
      <w:r w:rsidRPr="00023F1C">
        <w:rPr>
          <w:rFonts w:ascii="Times New Roman" w:hAnsi="Times New Roman"/>
          <w:sz w:val="24"/>
        </w:rPr>
        <w:t>Example.</w:t>
      </w:r>
      <w:proofErr w:type="gramEnd"/>
      <w:r w:rsidR="00536955">
        <w:rPr>
          <w:rFonts w:ascii="Times New Roman" w:hAnsi="Times New Roman"/>
          <w:sz w:val="24"/>
        </w:rPr>
        <w:t xml:space="preserve"> </w:t>
      </w:r>
      <w:r w:rsidRPr="00023F1C">
        <w:rPr>
          <w:rFonts w:ascii="Times New Roman" w:hAnsi="Times New Roman"/>
          <w:sz w:val="24"/>
        </w:rPr>
        <w:t>Assume the same facts as in the preceding example.</w:t>
      </w:r>
      <w:r w:rsidR="00536955">
        <w:rPr>
          <w:rFonts w:ascii="Times New Roman" w:hAnsi="Times New Roman"/>
          <w:sz w:val="24"/>
        </w:rPr>
        <w:t xml:space="preserve"> </w:t>
      </w:r>
      <w:r w:rsidRPr="00023F1C">
        <w:rPr>
          <w:rFonts w:ascii="Times New Roman" w:hAnsi="Times New Roman"/>
          <w:sz w:val="24"/>
        </w:rPr>
        <w:t xml:space="preserve">The taxable income </w:t>
      </w:r>
      <w:r w:rsidR="00553358">
        <w:rPr>
          <w:rFonts w:ascii="Times New Roman" w:hAnsi="Times New Roman"/>
          <w:sz w:val="24"/>
        </w:rPr>
        <w:t xml:space="preserve">percentage </w:t>
      </w:r>
      <w:r w:rsidRPr="00023F1C">
        <w:rPr>
          <w:rFonts w:ascii="Times New Roman" w:hAnsi="Times New Roman"/>
          <w:sz w:val="24"/>
        </w:rPr>
        <w:t xml:space="preserve">limitation for Silver Corporation </w:t>
      </w:r>
      <w:r w:rsidR="00553358">
        <w:rPr>
          <w:rFonts w:ascii="Times New Roman" w:hAnsi="Times New Roman"/>
          <w:sz w:val="24"/>
        </w:rPr>
        <w:t>is</w:t>
      </w:r>
      <w:r w:rsidRPr="00023F1C">
        <w:rPr>
          <w:rFonts w:ascii="Times New Roman" w:hAnsi="Times New Roman"/>
          <w:sz w:val="24"/>
        </w:rPr>
        <w:t xml:space="preserve"> 70% </w:t>
      </w:r>
      <w:r w:rsidR="00553358">
        <w:rPr>
          <w:rFonts w:ascii="Times New Roman" w:hAnsi="Times New Roman"/>
          <w:sz w:val="24"/>
        </w:rPr>
        <w:t>for</w:t>
      </w:r>
      <w:r w:rsidRPr="00023F1C">
        <w:rPr>
          <w:rFonts w:ascii="Times New Roman" w:hAnsi="Times New Roman"/>
          <w:sz w:val="24"/>
        </w:rPr>
        <w:t xml:space="preserve"> Bronze Corporation </w:t>
      </w:r>
      <w:r w:rsidR="00FB5F79">
        <w:rPr>
          <w:rFonts w:ascii="Times New Roman" w:hAnsi="Times New Roman"/>
          <w:sz w:val="24"/>
        </w:rPr>
        <w:t xml:space="preserve">dividends </w:t>
      </w:r>
      <w:r w:rsidRPr="00023F1C">
        <w:rPr>
          <w:rFonts w:ascii="Times New Roman" w:hAnsi="Times New Roman"/>
          <w:sz w:val="24"/>
        </w:rPr>
        <w:t xml:space="preserve">and 80% </w:t>
      </w:r>
      <w:r w:rsidR="00553358">
        <w:rPr>
          <w:rFonts w:ascii="Times New Roman" w:hAnsi="Times New Roman"/>
          <w:sz w:val="24"/>
        </w:rPr>
        <w:t>for</w:t>
      </w:r>
      <w:r w:rsidRPr="00023F1C">
        <w:rPr>
          <w:rFonts w:ascii="Times New Roman" w:hAnsi="Times New Roman"/>
          <w:sz w:val="24"/>
        </w:rPr>
        <w:t xml:space="preserve"> Copper Corporation</w:t>
      </w:r>
      <w:r w:rsidR="00FB5F79">
        <w:rPr>
          <w:rFonts w:ascii="Times New Roman" w:hAnsi="Times New Roman"/>
          <w:sz w:val="24"/>
        </w:rPr>
        <w:t xml:space="preserve"> dividends.</w:t>
      </w:r>
    </w:p>
    <w:p w:rsidR="00FC406E" w:rsidRPr="005932A9" w:rsidRDefault="00FC406E" w:rsidP="002E04A8">
      <w:pPr>
        <w:pStyle w:val="tableparagraph"/>
        <w:rPr>
          <w:rFonts w:ascii="Times New Roman" w:hAnsi="Times New Roman"/>
          <w:sz w:val="24"/>
        </w:rPr>
      </w:pPr>
    </w:p>
    <w:p w:rsidR="00A20990" w:rsidRPr="00A20990" w:rsidRDefault="00960E1F" w:rsidP="002E04A8">
      <w:pPr>
        <w:pStyle w:val="Subpartsanswer"/>
        <w:tabs>
          <w:tab w:val="clear" w:pos="1296"/>
          <w:tab w:val="left" w:pos="1440"/>
        </w:tabs>
        <w:ind w:left="1440" w:hanging="720"/>
        <w:jc w:val="left"/>
        <w:rPr>
          <w:rFonts w:ascii="Times New Roman" w:hAnsi="Times New Roman"/>
          <w:sz w:val="24"/>
          <w:szCs w:val="24"/>
        </w:rPr>
      </w:pPr>
      <w:r>
        <w:rPr>
          <w:rFonts w:ascii="Times New Roman" w:hAnsi="Times New Roman"/>
          <w:sz w:val="24"/>
        </w:rPr>
        <w:t>d</w:t>
      </w:r>
      <w:r w:rsidR="00775555" w:rsidRPr="005932A9">
        <w:rPr>
          <w:rFonts w:ascii="Times New Roman" w:hAnsi="Times New Roman"/>
          <w:sz w:val="24"/>
        </w:rPr>
        <w:t>.</w:t>
      </w:r>
      <w:r w:rsidR="00775555" w:rsidRPr="005932A9">
        <w:rPr>
          <w:rFonts w:ascii="Times New Roman" w:hAnsi="Times New Roman"/>
          <w:sz w:val="24"/>
        </w:rPr>
        <w:tab/>
        <w:t xml:space="preserve">Taxable income limitation does not apply if the corporate shareholder has a </w:t>
      </w:r>
      <w:r w:rsidR="00775555" w:rsidRPr="00A20990">
        <w:rPr>
          <w:rFonts w:ascii="Times New Roman" w:hAnsi="Times New Roman"/>
          <w:sz w:val="24"/>
          <w:szCs w:val="24"/>
        </w:rPr>
        <w:t>net operating lo</w:t>
      </w:r>
      <w:r w:rsidR="00D6217B">
        <w:rPr>
          <w:rFonts w:ascii="Times New Roman" w:hAnsi="Times New Roman"/>
          <w:sz w:val="24"/>
          <w:szCs w:val="24"/>
        </w:rPr>
        <w:t>ss for the current taxable year or in the case of the 100% DRD available to members of an affiliated group.</w:t>
      </w:r>
    </w:p>
    <w:p w:rsidR="00A20990" w:rsidRPr="00A20990" w:rsidRDefault="00A20990" w:rsidP="002E04A8">
      <w:pPr>
        <w:pStyle w:val="Subpartsanswer"/>
        <w:tabs>
          <w:tab w:val="clear" w:pos="1296"/>
          <w:tab w:val="left" w:pos="1440"/>
        </w:tabs>
        <w:ind w:left="1440" w:hanging="720"/>
        <w:jc w:val="left"/>
        <w:rPr>
          <w:rFonts w:ascii="Times New Roman" w:hAnsi="Times New Roman"/>
          <w:sz w:val="24"/>
          <w:szCs w:val="24"/>
        </w:rPr>
      </w:pPr>
    </w:p>
    <w:p w:rsidR="00A20990" w:rsidRDefault="00A20990" w:rsidP="002E04A8">
      <w:pPr>
        <w:autoSpaceDE w:val="0"/>
        <w:autoSpaceDN w:val="0"/>
        <w:adjustRightInd w:val="0"/>
        <w:spacing w:line="240" w:lineRule="exact"/>
        <w:ind w:firstLine="720"/>
      </w:pPr>
      <w:r w:rsidRPr="00A20990">
        <w:lastRenderedPageBreak/>
        <w:t>e.</w:t>
      </w:r>
      <w:r w:rsidRPr="00A20990">
        <w:tab/>
        <w:t>In working with this myriad of rules,</w:t>
      </w:r>
      <w:r>
        <w:t xml:space="preserve"> the following steps are useful.</w:t>
      </w:r>
    </w:p>
    <w:p w:rsidR="00A20990" w:rsidRPr="00A20990" w:rsidRDefault="00A20990" w:rsidP="002E04A8">
      <w:pPr>
        <w:autoSpaceDE w:val="0"/>
        <w:autoSpaceDN w:val="0"/>
        <w:adjustRightInd w:val="0"/>
        <w:spacing w:line="240" w:lineRule="exact"/>
        <w:ind w:firstLine="720"/>
      </w:pPr>
    </w:p>
    <w:p w:rsidR="0088699C" w:rsidRDefault="00A20990" w:rsidP="00950FA9">
      <w:pPr>
        <w:numPr>
          <w:ilvl w:val="0"/>
          <w:numId w:val="34"/>
        </w:numPr>
        <w:tabs>
          <w:tab w:val="clear" w:pos="2088"/>
          <w:tab w:val="num" w:pos="2160"/>
        </w:tabs>
        <w:autoSpaceDE w:val="0"/>
        <w:autoSpaceDN w:val="0"/>
        <w:adjustRightInd w:val="0"/>
        <w:spacing w:line="240" w:lineRule="exact"/>
        <w:ind w:hanging="720"/>
      </w:pPr>
      <w:r w:rsidRPr="00A20990">
        <w:t>Multiply the dividends received by the deduction percentage.</w:t>
      </w:r>
    </w:p>
    <w:p w:rsidR="0088699C" w:rsidRDefault="00A20990" w:rsidP="00950FA9">
      <w:pPr>
        <w:numPr>
          <w:ilvl w:val="0"/>
          <w:numId w:val="34"/>
        </w:numPr>
        <w:tabs>
          <w:tab w:val="clear" w:pos="2088"/>
          <w:tab w:val="num" w:pos="2160"/>
        </w:tabs>
        <w:autoSpaceDE w:val="0"/>
        <w:autoSpaceDN w:val="0"/>
        <w:adjustRightInd w:val="0"/>
        <w:spacing w:line="240" w:lineRule="exact"/>
        <w:ind w:hanging="720"/>
      </w:pPr>
      <w:r w:rsidRPr="00A20990">
        <w:t>Multiply the taxable income by the deduction percentage.</w:t>
      </w:r>
    </w:p>
    <w:p w:rsidR="00775555" w:rsidRDefault="0038606C" w:rsidP="00950FA9">
      <w:pPr>
        <w:numPr>
          <w:ilvl w:val="0"/>
          <w:numId w:val="34"/>
        </w:numPr>
        <w:tabs>
          <w:tab w:val="clear" w:pos="2088"/>
          <w:tab w:val="num" w:pos="2160"/>
        </w:tabs>
        <w:autoSpaceDE w:val="0"/>
        <w:autoSpaceDN w:val="0"/>
        <w:adjustRightInd w:val="0"/>
        <w:spacing w:line="240" w:lineRule="exact"/>
        <w:ind w:hanging="720"/>
      </w:pPr>
      <w:r>
        <w:t>D</w:t>
      </w:r>
      <w:r w:rsidR="000D66EA">
        <w:t>RD</w:t>
      </w:r>
      <w:r w:rsidR="00A20990" w:rsidRPr="00A20990">
        <w:t xml:space="preserve"> is limited to the les</w:t>
      </w:r>
      <w:r w:rsidR="00A20990">
        <w:t xml:space="preserve">ser of Step 1 or Step 2, unless </w:t>
      </w:r>
      <w:r w:rsidR="00465EFC">
        <w:t>deducting</w:t>
      </w:r>
      <w:r w:rsidR="00A20990">
        <w:t xml:space="preserve"> </w:t>
      </w:r>
      <w:r w:rsidR="00A20990" w:rsidRPr="00A20990">
        <w:t xml:space="preserve">the amount derived in Step 1 </w:t>
      </w:r>
      <w:r w:rsidR="00465EFC">
        <w:t>r</w:t>
      </w:r>
      <w:r w:rsidR="00950FA9">
        <w:t>esults in</w:t>
      </w:r>
      <w:r w:rsidR="00A20990" w:rsidRPr="00A20990">
        <w:t xml:space="preserve"> an</w:t>
      </w:r>
      <w:r w:rsidR="00A20990">
        <w:t xml:space="preserve"> </w:t>
      </w:r>
      <w:r w:rsidR="00A20990" w:rsidRPr="00A20990">
        <w:t>NOL. If so, the amount derived in Step 1 should be used. This is referred to as</w:t>
      </w:r>
      <w:r w:rsidR="00A20990">
        <w:t xml:space="preserve"> </w:t>
      </w:r>
      <w:r w:rsidR="00A20990" w:rsidRPr="00A20990">
        <w:t>the NOL rule</w:t>
      </w:r>
      <w:r w:rsidR="00B81F55">
        <w:t xml:space="preserve"> (</w:t>
      </w:r>
      <w:r w:rsidR="00675867" w:rsidRPr="00A20990">
        <w:t>Example 2</w:t>
      </w:r>
      <w:r w:rsidR="00465EFC">
        <w:t>7</w:t>
      </w:r>
      <w:r w:rsidR="00B81F55">
        <w:t>)</w:t>
      </w:r>
      <w:r w:rsidR="00675867">
        <w:t>.</w:t>
      </w:r>
    </w:p>
    <w:p w:rsidR="00FB5F79" w:rsidRDefault="00FB5F79" w:rsidP="00950FA9">
      <w:pPr>
        <w:tabs>
          <w:tab w:val="num" w:pos="2160"/>
        </w:tabs>
        <w:autoSpaceDE w:val="0"/>
        <w:autoSpaceDN w:val="0"/>
        <w:adjustRightInd w:val="0"/>
        <w:spacing w:line="240" w:lineRule="exact"/>
        <w:ind w:left="2160" w:hanging="720"/>
      </w:pPr>
    </w:p>
    <w:p w:rsidR="00DE3559" w:rsidRDefault="00FB5F79" w:rsidP="00465EFC">
      <w:pPr>
        <w:tabs>
          <w:tab w:val="left" w:pos="0"/>
        </w:tabs>
        <w:spacing w:line="240" w:lineRule="exact"/>
        <w:ind w:left="1440" w:hanging="720"/>
      </w:pPr>
      <w:r>
        <w:t>f.</w:t>
      </w:r>
      <w:r>
        <w:tab/>
      </w:r>
      <w:r w:rsidR="00DE3559">
        <w:t>Dividends not qualifying for DRD</w:t>
      </w:r>
      <w:r w:rsidR="00585A08">
        <w:t>.</w:t>
      </w:r>
    </w:p>
    <w:p w:rsidR="00DE3559" w:rsidRDefault="00DE3559" w:rsidP="002E04A8">
      <w:pPr>
        <w:tabs>
          <w:tab w:val="left" w:pos="0"/>
        </w:tabs>
        <w:spacing w:line="240" w:lineRule="exact"/>
        <w:ind w:left="1440" w:hanging="1440"/>
      </w:pPr>
      <w:r>
        <w:tab/>
      </w:r>
      <w:r>
        <w:tab/>
      </w:r>
    </w:p>
    <w:p w:rsidR="00DE3559" w:rsidRDefault="00DE3559" w:rsidP="00465EFC">
      <w:pPr>
        <w:tabs>
          <w:tab w:val="left" w:pos="0"/>
        </w:tabs>
        <w:spacing w:line="240" w:lineRule="exact"/>
        <w:ind w:left="720" w:hanging="720"/>
      </w:pPr>
      <w:r>
        <w:tab/>
      </w:r>
      <w:r>
        <w:tab/>
        <w:t>(1)</w:t>
      </w:r>
      <w:r>
        <w:tab/>
      </w:r>
      <w:r w:rsidR="00FB5F79">
        <w:t>Dividends on stock held for 45 days or less</w:t>
      </w:r>
      <w:r w:rsidR="00682DFF">
        <w:t xml:space="preserve"> (90 days if preferred stock)</w:t>
      </w:r>
      <w:r>
        <w:t>.</w:t>
      </w:r>
    </w:p>
    <w:p w:rsidR="00DE3559" w:rsidRDefault="00DE3559" w:rsidP="002E04A8">
      <w:pPr>
        <w:tabs>
          <w:tab w:val="left" w:pos="0"/>
        </w:tabs>
        <w:spacing w:line="240" w:lineRule="exact"/>
        <w:ind w:left="1440" w:hanging="1440"/>
      </w:pPr>
    </w:p>
    <w:p w:rsidR="00682DFF" w:rsidRPr="00682DFF" w:rsidRDefault="00DE3559" w:rsidP="00682DFF">
      <w:pPr>
        <w:tabs>
          <w:tab w:val="left" w:pos="0"/>
          <w:tab w:val="left" w:pos="1620"/>
        </w:tabs>
        <w:spacing w:line="240" w:lineRule="exact"/>
        <w:ind w:left="2160" w:hanging="720"/>
      </w:pPr>
      <w:r>
        <w:t>(2)</w:t>
      </w:r>
      <w:r>
        <w:tab/>
      </w:r>
      <w:r w:rsidR="003B2EB8">
        <w:t xml:space="preserve">Periods </w:t>
      </w:r>
      <w:r w:rsidR="00FB5F79">
        <w:t>for which the corporation has diminished its risk of loss on the stock</w:t>
      </w:r>
      <w:r>
        <w:t xml:space="preserve"> </w:t>
      </w:r>
      <w:r w:rsidR="00FB5F79">
        <w:t>through a short sale</w:t>
      </w:r>
      <w:r>
        <w:t>s</w:t>
      </w:r>
      <w:r w:rsidR="003B2EB8">
        <w:t xml:space="preserve"> </w:t>
      </w:r>
      <w:r w:rsidR="00FB5F79">
        <w:t xml:space="preserve">do not count towards </w:t>
      </w:r>
      <w:r w:rsidR="003B2EB8">
        <w:t>45 day</w:t>
      </w:r>
      <w:r w:rsidR="00FB5F79">
        <w:t xml:space="preserve"> requirement</w:t>
      </w:r>
      <w:r w:rsidR="003B2EB8">
        <w:t xml:space="preserve"> (</w:t>
      </w:r>
      <w:r w:rsidR="00FB5F79">
        <w:t>Reg. § 1.246-5).</w:t>
      </w:r>
      <w:r w:rsidR="00682DFF">
        <w:t xml:space="preserve">  </w:t>
      </w:r>
      <w:r w:rsidR="00682DFF" w:rsidRPr="00682DFF">
        <w:t xml:space="preserve">For a recent ruling where the diminished risk of loss resulted in a failure to satisfy the holding period requirement, see </w:t>
      </w:r>
      <w:r w:rsidR="00682DFF">
        <w:t>FAA 20121201F (November 10, 2011).</w:t>
      </w:r>
    </w:p>
    <w:p w:rsidR="00FB5F79" w:rsidRDefault="00FB5F79" w:rsidP="00CD3C31">
      <w:pPr>
        <w:tabs>
          <w:tab w:val="left" w:pos="0"/>
          <w:tab w:val="left" w:pos="1620"/>
        </w:tabs>
        <w:spacing w:line="240" w:lineRule="exact"/>
        <w:ind w:left="2160" w:hanging="720"/>
      </w:pPr>
    </w:p>
    <w:p w:rsidR="005271ED" w:rsidRDefault="00FB5F79" w:rsidP="005119D8">
      <w:pPr>
        <w:tabs>
          <w:tab w:val="left" w:pos="0"/>
        </w:tabs>
        <w:spacing w:line="240" w:lineRule="exact"/>
        <w:ind w:left="1440" w:hanging="720"/>
      </w:pPr>
      <w:r>
        <w:t>g.</w:t>
      </w:r>
      <w:r>
        <w:tab/>
      </w:r>
      <w:r w:rsidR="007F3A11">
        <w:t>DRD is reduced to extent</w:t>
      </w:r>
      <w:r w:rsidR="00A96BB3">
        <w:t xml:space="preserve"> of portfolio indebtedness (</w:t>
      </w:r>
      <w:r w:rsidR="007F3A11">
        <w:t>any indebtedness directly attributable to investment in stock</w:t>
      </w:r>
      <w:r w:rsidR="00A96BB3">
        <w:t>).</w:t>
      </w:r>
    </w:p>
    <w:p w:rsidR="005271ED" w:rsidRDefault="005271ED" w:rsidP="002E04A8">
      <w:pPr>
        <w:tabs>
          <w:tab w:val="left" w:pos="0"/>
        </w:tabs>
        <w:spacing w:line="240" w:lineRule="exact"/>
        <w:ind w:left="1440" w:hanging="1440"/>
      </w:pPr>
    </w:p>
    <w:p w:rsidR="007D5A65" w:rsidRDefault="00146195" w:rsidP="00CD3C31">
      <w:pPr>
        <w:tabs>
          <w:tab w:val="left" w:pos="0"/>
        </w:tabs>
        <w:spacing w:line="240" w:lineRule="exact"/>
        <w:ind w:left="2160" w:hanging="720"/>
      </w:pPr>
      <w:r>
        <w:t>(</w:t>
      </w:r>
      <w:r w:rsidR="007F3A11">
        <w:t>1</w:t>
      </w:r>
      <w:r>
        <w:t>)</w:t>
      </w:r>
      <w:r w:rsidR="007D5A65">
        <w:tab/>
      </w:r>
      <w:r w:rsidR="007D5A65" w:rsidRPr="006A11D7">
        <w:rPr>
          <w:spacing w:val="-6"/>
        </w:rPr>
        <w:t>Amount of reduction is limited to the allocable amount of the corporation’s interest deduction on the portfolio indebtedness. For determining whether indebtedness is “directly attributable” to stock</w:t>
      </w:r>
      <w:r w:rsidR="007D5A65" w:rsidRPr="007C73C5">
        <w:t xml:space="preserve"> </w:t>
      </w:r>
      <w:r w:rsidR="006A11D7">
        <w:t>i</w:t>
      </w:r>
      <w:r w:rsidR="006A11D7" w:rsidRPr="007C73C5">
        <w:t>nvestment</w:t>
      </w:r>
      <w:r w:rsidR="00465EFC">
        <w:t xml:space="preserve">, </w:t>
      </w:r>
      <w:r w:rsidR="004E6320">
        <w:t>see</w:t>
      </w:r>
      <w:r w:rsidR="00465EFC">
        <w:t>, e.g.,</w:t>
      </w:r>
      <w:r w:rsidR="004E6320">
        <w:t xml:space="preserve"> </w:t>
      </w:r>
      <w:r w:rsidR="007D5A65" w:rsidRPr="007C73C5">
        <w:rPr>
          <w:i/>
        </w:rPr>
        <w:t>OBH, Inc.</w:t>
      </w:r>
      <w:r w:rsidR="007D5A65">
        <w:rPr>
          <w:i/>
        </w:rPr>
        <w:t xml:space="preserve"> v. U.</w:t>
      </w:r>
      <w:r w:rsidR="007D5A65" w:rsidRPr="007C73C5">
        <w:rPr>
          <w:i/>
        </w:rPr>
        <w:t>S</w:t>
      </w:r>
      <w:r w:rsidR="007D5A65">
        <w:rPr>
          <w:i/>
        </w:rPr>
        <w:t>.</w:t>
      </w:r>
      <w:r w:rsidR="007D5A65">
        <w:t xml:space="preserve">, </w:t>
      </w:r>
      <w:r w:rsidR="007D5A65">
        <w:rPr>
          <w:color w:val="333333"/>
        </w:rPr>
        <w:t>2005-2 USTC ¶50,627, 96 AFTR</w:t>
      </w:r>
      <w:r w:rsidR="007D5A65" w:rsidRPr="007C73C5">
        <w:rPr>
          <w:color w:val="333333"/>
        </w:rPr>
        <w:t>2d 6801</w:t>
      </w:r>
      <w:r w:rsidR="00FA27E8">
        <w:rPr>
          <w:color w:val="333333"/>
        </w:rPr>
        <w:t>, 397</w:t>
      </w:r>
      <w:r w:rsidR="00465EFC">
        <w:t xml:space="preserve"> </w:t>
      </w:r>
      <w:r w:rsidR="007D5A65">
        <w:rPr>
          <w:color w:val="333333"/>
        </w:rPr>
        <w:t>F</w:t>
      </w:r>
      <w:r w:rsidR="00FA27E8">
        <w:rPr>
          <w:color w:val="333333"/>
        </w:rPr>
        <w:t xml:space="preserve"> </w:t>
      </w:r>
      <w:r w:rsidR="007D5A65">
        <w:rPr>
          <w:color w:val="333333"/>
        </w:rPr>
        <w:t>Supp.2d 1148 (</w:t>
      </w:r>
      <w:proofErr w:type="spellStart"/>
      <w:r w:rsidR="007D5A65">
        <w:rPr>
          <w:color w:val="333333"/>
        </w:rPr>
        <w:t>D.Ct</w:t>
      </w:r>
      <w:proofErr w:type="spellEnd"/>
      <w:r w:rsidR="007D5A65">
        <w:rPr>
          <w:color w:val="333333"/>
        </w:rPr>
        <w:t xml:space="preserve">. </w:t>
      </w:r>
      <w:smartTag w:uri="urn:schemas-microsoft-com:office:smarttags" w:element="State">
        <w:r w:rsidR="007D5A65">
          <w:rPr>
            <w:color w:val="333333"/>
          </w:rPr>
          <w:t>Neb.</w:t>
        </w:r>
      </w:smartTag>
      <w:r w:rsidR="007D5A65">
        <w:rPr>
          <w:color w:val="333333"/>
        </w:rPr>
        <w:t>, 2005)</w:t>
      </w:r>
      <w:r w:rsidR="004E6320">
        <w:rPr>
          <w:color w:val="333333"/>
        </w:rPr>
        <w:t xml:space="preserve"> and Rev. Rul. 88-66, 1988-2 C.B. 35.</w:t>
      </w:r>
      <w:r>
        <w:tab/>
      </w:r>
    </w:p>
    <w:p w:rsidR="007D5A65" w:rsidRDefault="007D5A65" w:rsidP="00CD3C31">
      <w:pPr>
        <w:tabs>
          <w:tab w:val="left" w:pos="0"/>
        </w:tabs>
        <w:spacing w:line="240" w:lineRule="exact"/>
        <w:ind w:left="2160" w:hanging="720"/>
      </w:pPr>
    </w:p>
    <w:p w:rsidR="007D5A65" w:rsidRDefault="007D5A65" w:rsidP="00CD3C31">
      <w:pPr>
        <w:tabs>
          <w:tab w:val="left" w:pos="0"/>
        </w:tabs>
        <w:spacing w:line="240" w:lineRule="exact"/>
        <w:ind w:left="2160" w:hanging="720"/>
      </w:pPr>
      <w:r>
        <w:t>(</w:t>
      </w:r>
      <w:r w:rsidR="007F3A11">
        <w:t>2</w:t>
      </w:r>
      <w:r>
        <w:t>)</w:t>
      </w:r>
      <w:r>
        <w:tab/>
      </w:r>
      <w:r w:rsidR="00146195">
        <w:t xml:space="preserve">If </w:t>
      </w:r>
      <w:r w:rsidR="00FB5F79">
        <w:t xml:space="preserve">corporation owns </w:t>
      </w:r>
      <w:r w:rsidR="00146195">
        <w:t xml:space="preserve">at least </w:t>
      </w:r>
      <w:r w:rsidR="00FB5F79">
        <w:t xml:space="preserve">50% of voting and value </w:t>
      </w:r>
      <w:r w:rsidR="00146195">
        <w:t xml:space="preserve">of another corporation’s stock, DRD for this stock </w:t>
      </w:r>
      <w:r w:rsidR="00FB5F79">
        <w:t xml:space="preserve">is not subject to the </w:t>
      </w:r>
      <w:r>
        <w:t>reduction</w:t>
      </w:r>
      <w:r w:rsidR="00FB5F79">
        <w:t>.</w:t>
      </w:r>
    </w:p>
    <w:p w:rsidR="00027F41" w:rsidRDefault="007D5A65" w:rsidP="002E04A8">
      <w:pPr>
        <w:tabs>
          <w:tab w:val="left" w:pos="0"/>
        </w:tabs>
        <w:spacing w:line="240" w:lineRule="exact"/>
        <w:ind w:left="2160" w:hanging="2160"/>
        <w:rPr>
          <w:sz w:val="16"/>
        </w:rPr>
      </w:pPr>
      <w:r>
        <w:tab/>
      </w:r>
      <w:r>
        <w:tab/>
      </w:r>
    </w:p>
    <w:p w:rsidR="00027F41" w:rsidRDefault="00027F41" w:rsidP="002E04A8">
      <w:pPr>
        <w:spacing w:line="240" w:lineRule="exact"/>
        <w:rPr>
          <w:b/>
        </w:rPr>
      </w:pPr>
    </w:p>
    <w:p w:rsidR="00775555" w:rsidRDefault="00904186" w:rsidP="002E04A8">
      <w:pPr>
        <w:pStyle w:val="mainanswerparagraph"/>
        <w:jc w:val="left"/>
        <w:rPr>
          <w:rFonts w:ascii="Times New Roman" w:hAnsi="Times New Roman"/>
          <w:sz w:val="24"/>
        </w:rPr>
      </w:pPr>
      <w:r>
        <w:rPr>
          <w:rFonts w:ascii="Times New Roman" w:hAnsi="Times New Roman"/>
          <w:sz w:val="24"/>
        </w:rPr>
        <w:t>2</w:t>
      </w:r>
      <w:r w:rsidR="00D11DE1">
        <w:rPr>
          <w:rFonts w:ascii="Times New Roman" w:hAnsi="Times New Roman"/>
          <w:sz w:val="24"/>
        </w:rPr>
        <w:t>1</w:t>
      </w:r>
      <w:r w:rsidR="00A20990">
        <w:rPr>
          <w:rFonts w:ascii="Times New Roman" w:hAnsi="Times New Roman"/>
          <w:sz w:val="24"/>
        </w:rPr>
        <w:t>.</w:t>
      </w:r>
      <w:r w:rsidR="00A20990">
        <w:rPr>
          <w:rFonts w:ascii="Times New Roman" w:hAnsi="Times New Roman"/>
          <w:sz w:val="24"/>
        </w:rPr>
        <w:tab/>
        <w:t>O</w:t>
      </w:r>
      <w:r w:rsidR="00775555" w:rsidRPr="005932A9">
        <w:rPr>
          <w:rFonts w:ascii="Times New Roman" w:hAnsi="Times New Roman"/>
          <w:sz w:val="24"/>
        </w:rPr>
        <w:t>rganization</w:t>
      </w:r>
      <w:r w:rsidR="007D0A07">
        <w:rPr>
          <w:rFonts w:ascii="Times New Roman" w:hAnsi="Times New Roman"/>
          <w:sz w:val="24"/>
        </w:rPr>
        <w:t>al</w:t>
      </w:r>
      <w:r w:rsidR="00775555" w:rsidRPr="005932A9">
        <w:rPr>
          <w:rFonts w:ascii="Times New Roman" w:hAnsi="Times New Roman"/>
          <w:sz w:val="24"/>
        </w:rPr>
        <w:t xml:space="preserve"> </w:t>
      </w:r>
      <w:r w:rsidR="00A20990">
        <w:rPr>
          <w:rFonts w:ascii="Times New Roman" w:hAnsi="Times New Roman"/>
          <w:sz w:val="24"/>
        </w:rPr>
        <w:t>Expenditure</w:t>
      </w:r>
      <w:r w:rsidR="007D0A07">
        <w:rPr>
          <w:rFonts w:ascii="Times New Roman" w:hAnsi="Times New Roman"/>
          <w:sz w:val="24"/>
        </w:rPr>
        <w:t>s</w:t>
      </w:r>
      <w:r w:rsidR="00A20990">
        <w:rPr>
          <w:rFonts w:ascii="Times New Roman" w:hAnsi="Times New Roman"/>
          <w:sz w:val="24"/>
        </w:rPr>
        <w:t xml:space="preserve"> Deduction.</w:t>
      </w:r>
    </w:p>
    <w:p w:rsidR="00775555" w:rsidRDefault="00775555" w:rsidP="002E04A8">
      <w:pPr>
        <w:spacing w:line="240" w:lineRule="exact"/>
      </w:pPr>
    </w:p>
    <w:p w:rsidR="00775555" w:rsidRDefault="00775555" w:rsidP="002E04A8">
      <w:pPr>
        <w:pStyle w:val="Subpartsanswer"/>
        <w:tabs>
          <w:tab w:val="clear" w:pos="1296"/>
          <w:tab w:val="left" w:pos="1440"/>
        </w:tabs>
        <w:ind w:left="1440" w:hanging="720"/>
        <w:jc w:val="left"/>
        <w:rPr>
          <w:rFonts w:ascii="Times New Roman" w:hAnsi="Times New Roman"/>
          <w:sz w:val="24"/>
        </w:rPr>
      </w:pPr>
      <w:r>
        <w:rPr>
          <w:rFonts w:ascii="Times New Roman" w:hAnsi="Times New Roman"/>
          <w:sz w:val="24"/>
        </w:rPr>
        <w:t>a.</w:t>
      </w:r>
      <w:r>
        <w:rPr>
          <w:rFonts w:ascii="Times New Roman" w:hAnsi="Times New Roman"/>
          <w:sz w:val="24"/>
        </w:rPr>
        <w:tab/>
        <w:t>Such expenses may be amortized over a 180-mo</w:t>
      </w:r>
      <w:r w:rsidR="00A20990">
        <w:rPr>
          <w:rFonts w:ascii="Times New Roman" w:hAnsi="Times New Roman"/>
          <w:sz w:val="24"/>
        </w:rPr>
        <w:t>nth period starting in the month in which the business begins.</w:t>
      </w:r>
    </w:p>
    <w:p w:rsidR="00775555" w:rsidRDefault="00775555" w:rsidP="002E04A8">
      <w:pPr>
        <w:tabs>
          <w:tab w:val="left" w:pos="1440"/>
        </w:tabs>
        <w:spacing w:line="240" w:lineRule="exact"/>
        <w:ind w:left="1440" w:hanging="720"/>
      </w:pPr>
    </w:p>
    <w:p w:rsidR="00775555" w:rsidRDefault="00775555" w:rsidP="002E04A8">
      <w:pPr>
        <w:tabs>
          <w:tab w:val="left" w:pos="1440"/>
        </w:tabs>
        <w:autoSpaceDE w:val="0"/>
        <w:autoSpaceDN w:val="0"/>
        <w:adjustRightInd w:val="0"/>
        <w:spacing w:line="240" w:lineRule="exact"/>
        <w:ind w:left="1440" w:hanging="720"/>
      </w:pPr>
      <w:r>
        <w:t>b.</w:t>
      </w:r>
      <w:r>
        <w:tab/>
        <w:t xml:space="preserve">A special exception allows </w:t>
      </w:r>
      <w:r w:rsidR="00A20990">
        <w:t xml:space="preserve">businesses </w:t>
      </w:r>
      <w:r>
        <w:t>to immediately expense the first $5,000 of organizational costs. The exception, however, is phased o</w:t>
      </w:r>
      <w:r w:rsidR="00A20990">
        <w:t>ut on a dollar-for-dollar</w:t>
      </w:r>
      <w:r w:rsidR="006A0AB2">
        <w:t xml:space="preserve"> basis</w:t>
      </w:r>
      <w:r w:rsidR="00A20990">
        <w:t xml:space="preserve"> </w:t>
      </w:r>
      <w:r>
        <w:t xml:space="preserve">when these expenses exceed $50,000. </w:t>
      </w:r>
    </w:p>
    <w:p w:rsidR="00775555" w:rsidRDefault="00775555" w:rsidP="002E04A8">
      <w:pPr>
        <w:autoSpaceDE w:val="0"/>
        <w:autoSpaceDN w:val="0"/>
        <w:adjustRightInd w:val="0"/>
        <w:spacing w:line="240" w:lineRule="exact"/>
        <w:ind w:left="900" w:hanging="360"/>
      </w:pPr>
    </w:p>
    <w:p w:rsidR="00775555" w:rsidRPr="006A0AB2" w:rsidRDefault="00775555" w:rsidP="002E04A8">
      <w:pPr>
        <w:tabs>
          <w:tab w:val="left" w:pos="1440"/>
        </w:tabs>
        <w:spacing w:line="240" w:lineRule="exact"/>
        <w:ind w:left="1440" w:hanging="720"/>
        <w:rPr>
          <w:spacing w:val="-4"/>
        </w:rPr>
      </w:pPr>
      <w:r>
        <w:tab/>
      </w:r>
      <w:proofErr w:type="gramStart"/>
      <w:r w:rsidRPr="006A0AB2">
        <w:rPr>
          <w:spacing w:val="-4"/>
        </w:rPr>
        <w:t>Example.</w:t>
      </w:r>
      <w:proofErr w:type="gramEnd"/>
      <w:r w:rsidR="00536955" w:rsidRPr="006A0AB2">
        <w:rPr>
          <w:spacing w:val="-4"/>
        </w:rPr>
        <w:t xml:space="preserve"> </w:t>
      </w:r>
      <w:r w:rsidRPr="006A0AB2">
        <w:rPr>
          <w:spacing w:val="-4"/>
        </w:rPr>
        <w:t>Fox Corporation had $51,000 of or</w:t>
      </w:r>
      <w:r w:rsidR="006A0AB2" w:rsidRPr="006A0AB2">
        <w:rPr>
          <w:spacing w:val="-4"/>
        </w:rPr>
        <w:t>ganizational expenditures in the current year</w:t>
      </w:r>
      <w:r w:rsidRPr="006A0AB2">
        <w:rPr>
          <w:spacing w:val="-4"/>
        </w:rPr>
        <w:t>. Fox can elect to expense $4,000 [$5,000 – ($51,000 – $50,000)] of this amount and amortize the $47,000 balance ($51,000 – $4,000) over 180 months.</w:t>
      </w:r>
    </w:p>
    <w:p w:rsidR="00775555" w:rsidRPr="005932A9" w:rsidRDefault="00775555" w:rsidP="002E04A8">
      <w:pPr>
        <w:tabs>
          <w:tab w:val="left" w:pos="1440"/>
        </w:tabs>
        <w:spacing w:line="240" w:lineRule="exact"/>
        <w:ind w:left="1440" w:hanging="720"/>
      </w:pPr>
    </w:p>
    <w:p w:rsidR="00775555" w:rsidRDefault="00CA78E7" w:rsidP="002E04A8">
      <w:pPr>
        <w:pStyle w:val="Subpartsanswer"/>
        <w:tabs>
          <w:tab w:val="clear" w:pos="1296"/>
          <w:tab w:val="left" w:pos="1440"/>
        </w:tabs>
        <w:ind w:left="2160" w:hanging="1440"/>
        <w:jc w:val="left"/>
        <w:rPr>
          <w:rFonts w:ascii="Times New Roman" w:hAnsi="Times New Roman"/>
          <w:sz w:val="24"/>
        </w:rPr>
      </w:pPr>
      <w:r>
        <w:rPr>
          <w:rFonts w:ascii="Times New Roman" w:hAnsi="Times New Roman"/>
          <w:sz w:val="24"/>
        </w:rPr>
        <w:tab/>
        <w:t>(1)</w:t>
      </w:r>
      <w:r>
        <w:rPr>
          <w:rFonts w:ascii="Times New Roman" w:hAnsi="Times New Roman"/>
          <w:sz w:val="24"/>
        </w:rPr>
        <w:tab/>
      </w:r>
      <w:r w:rsidR="00992416">
        <w:rPr>
          <w:rFonts w:ascii="Times New Roman" w:hAnsi="Times New Roman"/>
          <w:sz w:val="24"/>
        </w:rPr>
        <w:t xml:space="preserve">In order for </w:t>
      </w:r>
      <w:r w:rsidR="00431C1B">
        <w:rPr>
          <w:rFonts w:ascii="Times New Roman" w:hAnsi="Times New Roman"/>
          <w:sz w:val="24"/>
        </w:rPr>
        <w:t xml:space="preserve">a </w:t>
      </w:r>
      <w:r w:rsidR="00992416">
        <w:rPr>
          <w:rFonts w:ascii="Times New Roman" w:hAnsi="Times New Roman"/>
          <w:sz w:val="24"/>
        </w:rPr>
        <w:t>corporation t</w:t>
      </w:r>
      <w:r w:rsidR="00431C1B">
        <w:rPr>
          <w:rFonts w:ascii="Times New Roman" w:hAnsi="Times New Roman"/>
          <w:sz w:val="24"/>
        </w:rPr>
        <w:t>o qualify for this</w:t>
      </w:r>
      <w:r w:rsidR="00775555">
        <w:rPr>
          <w:rFonts w:ascii="Times New Roman" w:hAnsi="Times New Roman"/>
          <w:sz w:val="24"/>
        </w:rPr>
        <w:t xml:space="preserve"> election, expenditure</w:t>
      </w:r>
      <w:r w:rsidR="00B51652">
        <w:rPr>
          <w:rFonts w:ascii="Times New Roman" w:hAnsi="Times New Roman"/>
          <w:sz w:val="24"/>
        </w:rPr>
        <w:t>s</w:t>
      </w:r>
      <w:r w:rsidR="00775555">
        <w:rPr>
          <w:rFonts w:ascii="Times New Roman" w:hAnsi="Times New Roman"/>
          <w:sz w:val="24"/>
        </w:rPr>
        <w:t xml:space="preserve"> must be incurred before the </w:t>
      </w:r>
      <w:r w:rsidR="0035423A">
        <w:rPr>
          <w:rFonts w:ascii="Times New Roman" w:hAnsi="Times New Roman"/>
          <w:sz w:val="24"/>
        </w:rPr>
        <w:t xml:space="preserve">end of the </w:t>
      </w:r>
      <w:r w:rsidR="00431C1B">
        <w:rPr>
          <w:rFonts w:ascii="Times New Roman" w:hAnsi="Times New Roman"/>
          <w:sz w:val="24"/>
        </w:rPr>
        <w:t>taxable year</w:t>
      </w:r>
      <w:r w:rsidR="0035423A">
        <w:rPr>
          <w:rFonts w:ascii="Times New Roman" w:hAnsi="Times New Roman"/>
          <w:sz w:val="24"/>
        </w:rPr>
        <w:t xml:space="preserve"> </w:t>
      </w:r>
      <w:r w:rsidR="00775555">
        <w:rPr>
          <w:rFonts w:ascii="Times New Roman" w:hAnsi="Times New Roman"/>
          <w:sz w:val="24"/>
        </w:rPr>
        <w:t xml:space="preserve">in which </w:t>
      </w:r>
      <w:r w:rsidR="00A20990">
        <w:rPr>
          <w:rFonts w:ascii="Times New Roman" w:hAnsi="Times New Roman"/>
          <w:sz w:val="24"/>
        </w:rPr>
        <w:t>the corporation begin</w:t>
      </w:r>
      <w:r w:rsidR="0035423A">
        <w:rPr>
          <w:rFonts w:ascii="Times New Roman" w:hAnsi="Times New Roman"/>
          <w:sz w:val="24"/>
        </w:rPr>
        <w:t>s</w:t>
      </w:r>
      <w:r w:rsidR="00D6217B">
        <w:rPr>
          <w:rFonts w:ascii="Times New Roman" w:hAnsi="Times New Roman"/>
          <w:sz w:val="24"/>
        </w:rPr>
        <w:t xml:space="preserve"> business. A corporation is deemed to make an election under § 248 to deduct organizational expenditures.</w:t>
      </w:r>
    </w:p>
    <w:p w:rsidR="00775555" w:rsidRDefault="00775555" w:rsidP="002E04A8">
      <w:pPr>
        <w:tabs>
          <w:tab w:val="left" w:pos="1440"/>
        </w:tabs>
        <w:spacing w:line="240" w:lineRule="exact"/>
        <w:ind w:left="1440" w:hanging="720"/>
      </w:pPr>
    </w:p>
    <w:p w:rsidR="00775555" w:rsidRDefault="00CA78E7" w:rsidP="002E04A8">
      <w:pPr>
        <w:pStyle w:val="Subpartsanswer"/>
        <w:tabs>
          <w:tab w:val="clear" w:pos="1296"/>
          <w:tab w:val="left" w:pos="1440"/>
        </w:tabs>
        <w:ind w:left="2160" w:hanging="1440"/>
        <w:jc w:val="left"/>
        <w:rPr>
          <w:rFonts w:ascii="Times New Roman" w:hAnsi="Times New Roman"/>
          <w:sz w:val="24"/>
        </w:rPr>
      </w:pPr>
      <w:r>
        <w:rPr>
          <w:rFonts w:ascii="Times New Roman" w:hAnsi="Times New Roman"/>
          <w:sz w:val="24"/>
        </w:rPr>
        <w:tab/>
        <w:t>(2)</w:t>
      </w:r>
      <w:r>
        <w:rPr>
          <w:rFonts w:ascii="Times New Roman" w:hAnsi="Times New Roman"/>
          <w:sz w:val="24"/>
        </w:rPr>
        <w:tab/>
      </w:r>
      <w:r w:rsidR="003E6274">
        <w:rPr>
          <w:rFonts w:ascii="Times New Roman" w:hAnsi="Times New Roman"/>
          <w:sz w:val="24"/>
        </w:rPr>
        <w:t>A corporation may choose to forgo the deemed election by clearly electing to capitalize organizational expenditures for the ta</w:t>
      </w:r>
      <w:r w:rsidR="003B30F2">
        <w:rPr>
          <w:rFonts w:ascii="Times New Roman" w:hAnsi="Times New Roman"/>
          <w:sz w:val="24"/>
        </w:rPr>
        <w:t>xable year in which the business begins. In this case</w:t>
      </w:r>
      <w:r w:rsidR="00775555">
        <w:rPr>
          <w:rFonts w:ascii="Times New Roman" w:hAnsi="Times New Roman"/>
          <w:sz w:val="24"/>
        </w:rPr>
        <w:t xml:space="preserve">, </w:t>
      </w:r>
      <w:r w:rsidR="003B30F2">
        <w:rPr>
          <w:rFonts w:ascii="Times New Roman" w:hAnsi="Times New Roman"/>
          <w:sz w:val="24"/>
        </w:rPr>
        <w:t xml:space="preserve">the </w:t>
      </w:r>
      <w:r w:rsidR="00775555">
        <w:rPr>
          <w:rFonts w:ascii="Times New Roman" w:hAnsi="Times New Roman"/>
          <w:sz w:val="24"/>
        </w:rPr>
        <w:t xml:space="preserve">organizational expenditures </w:t>
      </w:r>
      <w:r w:rsidR="003B30F2">
        <w:rPr>
          <w:rFonts w:ascii="Times New Roman" w:hAnsi="Times New Roman"/>
          <w:sz w:val="24"/>
        </w:rPr>
        <w:t xml:space="preserve">are not </w:t>
      </w:r>
      <w:r w:rsidR="00775555">
        <w:rPr>
          <w:rFonts w:ascii="Times New Roman" w:hAnsi="Times New Roman"/>
          <w:sz w:val="24"/>
        </w:rPr>
        <w:t>deduct</w:t>
      </w:r>
      <w:r w:rsidR="003B30F2">
        <w:rPr>
          <w:rFonts w:ascii="Times New Roman" w:hAnsi="Times New Roman"/>
          <w:sz w:val="24"/>
        </w:rPr>
        <w:t>ible</w:t>
      </w:r>
      <w:r w:rsidR="00775555">
        <w:rPr>
          <w:rFonts w:ascii="Times New Roman" w:hAnsi="Times New Roman"/>
          <w:sz w:val="24"/>
        </w:rPr>
        <w:t xml:space="preserve"> until the corporation ceases to do business and liquidates (unless the corporate charter limits the life of the corporation).</w:t>
      </w:r>
    </w:p>
    <w:p w:rsidR="00775555" w:rsidRDefault="00775555" w:rsidP="002E04A8">
      <w:pPr>
        <w:pStyle w:val="subquestionpara"/>
        <w:tabs>
          <w:tab w:val="left" w:pos="1440"/>
        </w:tabs>
        <w:ind w:left="1440" w:hanging="720"/>
        <w:rPr>
          <w:rFonts w:ascii="Times New Roman" w:hAnsi="Times New Roman"/>
          <w:sz w:val="24"/>
        </w:rPr>
      </w:pPr>
    </w:p>
    <w:p w:rsidR="00775555" w:rsidRDefault="00CA78E7" w:rsidP="00183068">
      <w:pPr>
        <w:pStyle w:val="BodyTextIndent"/>
        <w:tabs>
          <w:tab w:val="left" w:pos="2160"/>
        </w:tabs>
        <w:spacing w:line="240" w:lineRule="exact"/>
        <w:ind w:left="2160" w:hanging="720"/>
        <w:jc w:val="left"/>
        <w:rPr>
          <w:spacing w:val="-4"/>
        </w:rPr>
      </w:pPr>
      <w:r>
        <w:t>c</w:t>
      </w:r>
      <w:r w:rsidR="00775555">
        <w:t>.</w:t>
      </w:r>
      <w:r w:rsidR="00775555">
        <w:tab/>
      </w:r>
      <w:r w:rsidR="00775555" w:rsidRPr="00663AF8">
        <w:rPr>
          <w:spacing w:val="-4"/>
        </w:rPr>
        <w:t>S</w:t>
      </w:r>
      <w:r w:rsidR="00663AF8">
        <w:rPr>
          <w:spacing w:val="-4"/>
        </w:rPr>
        <w:t>tartup expenses (investigation and</w:t>
      </w:r>
      <w:r w:rsidR="00775555" w:rsidRPr="00663AF8">
        <w:rPr>
          <w:spacing w:val="-4"/>
        </w:rPr>
        <w:t xml:space="preserve"> operating expenses incurred before the business begins producing income) </w:t>
      </w:r>
      <w:r w:rsidR="00A20990" w:rsidRPr="00663AF8">
        <w:rPr>
          <w:spacing w:val="-4"/>
        </w:rPr>
        <w:t xml:space="preserve">are different from organizational costs. </w:t>
      </w:r>
      <w:r w:rsidR="003750A5">
        <w:rPr>
          <w:spacing w:val="-4"/>
        </w:rPr>
        <w:t>However, the amortization, immediate expensing, and deemed election rules described in a. and b. above for organizational expenditures also</w:t>
      </w:r>
      <w:r w:rsidR="00A20990" w:rsidRPr="00663AF8">
        <w:rPr>
          <w:spacing w:val="-4"/>
        </w:rPr>
        <w:t xml:space="preserve"> appl</w:t>
      </w:r>
      <w:r w:rsidR="003750A5">
        <w:rPr>
          <w:spacing w:val="-4"/>
        </w:rPr>
        <w:t>y to startup costs</w:t>
      </w:r>
      <w:r w:rsidR="00A20990" w:rsidRPr="00663AF8">
        <w:rPr>
          <w:spacing w:val="-4"/>
        </w:rPr>
        <w:t>.</w:t>
      </w:r>
      <w:r w:rsidR="00661E5A">
        <w:rPr>
          <w:spacing w:val="-4"/>
        </w:rPr>
        <w:t xml:space="preserve">  </w:t>
      </w:r>
    </w:p>
    <w:p w:rsidR="00CA78E7" w:rsidRDefault="00CA78E7" w:rsidP="00183068">
      <w:pPr>
        <w:pStyle w:val="BodyTextIndent"/>
        <w:tabs>
          <w:tab w:val="left" w:pos="2160"/>
        </w:tabs>
        <w:spacing w:line="240" w:lineRule="exact"/>
        <w:ind w:left="2160" w:hanging="720"/>
        <w:jc w:val="left"/>
        <w:rPr>
          <w:spacing w:val="-4"/>
        </w:rPr>
      </w:pPr>
    </w:p>
    <w:p w:rsidR="00F0708A" w:rsidRDefault="007211BF" w:rsidP="00183068">
      <w:pPr>
        <w:pStyle w:val="BodyTextIndent"/>
        <w:tabs>
          <w:tab w:val="left" w:pos="2160"/>
        </w:tabs>
        <w:spacing w:line="240" w:lineRule="exact"/>
        <w:ind w:left="2160" w:hanging="720"/>
        <w:jc w:val="left"/>
        <w:rPr>
          <w:spacing w:val="-4"/>
        </w:rPr>
      </w:pPr>
      <w:r w:rsidRPr="00661E5A">
        <w:rPr>
          <w:spacing w:val="-4"/>
        </w:rPr>
        <w:t>d</w:t>
      </w:r>
      <w:r w:rsidR="00CA78E7" w:rsidRPr="00661E5A">
        <w:rPr>
          <w:spacing w:val="-4"/>
        </w:rPr>
        <w:t>.</w:t>
      </w:r>
      <w:r w:rsidR="00CA78E7" w:rsidRPr="00661E5A">
        <w:rPr>
          <w:spacing w:val="-4"/>
        </w:rPr>
        <w:tab/>
      </w:r>
      <w:r w:rsidR="005119D8">
        <w:rPr>
          <w:spacing w:val="-4"/>
        </w:rPr>
        <w:t>Final</w:t>
      </w:r>
      <w:r w:rsidR="003750A5" w:rsidRPr="00661E5A">
        <w:rPr>
          <w:spacing w:val="-4"/>
        </w:rPr>
        <w:t xml:space="preserve"> Regulations </w:t>
      </w:r>
      <w:r w:rsidR="00F0647A" w:rsidRPr="00661E5A">
        <w:rPr>
          <w:spacing w:val="-4"/>
        </w:rPr>
        <w:t>(Reg</w:t>
      </w:r>
      <w:r w:rsidR="00B4347A" w:rsidRPr="00661E5A">
        <w:rPr>
          <w:spacing w:val="-4"/>
        </w:rPr>
        <w:t>.</w:t>
      </w:r>
      <w:r w:rsidR="005119D8">
        <w:rPr>
          <w:spacing w:val="-4"/>
        </w:rPr>
        <w:t xml:space="preserve"> §§ 1.195-1</w:t>
      </w:r>
      <w:r w:rsidR="00F0647A" w:rsidRPr="00661E5A">
        <w:rPr>
          <w:spacing w:val="-4"/>
        </w:rPr>
        <w:t xml:space="preserve"> </w:t>
      </w:r>
      <w:r w:rsidR="00CF056E" w:rsidRPr="00661E5A">
        <w:rPr>
          <w:spacing w:val="-4"/>
        </w:rPr>
        <w:t>&amp;</w:t>
      </w:r>
      <w:r w:rsidR="005119D8">
        <w:rPr>
          <w:spacing w:val="-4"/>
        </w:rPr>
        <w:t xml:space="preserve"> 1.248-1</w:t>
      </w:r>
      <w:r w:rsidR="00CF056E" w:rsidRPr="00661E5A">
        <w:rPr>
          <w:spacing w:val="-4"/>
        </w:rPr>
        <w:t>)</w:t>
      </w:r>
      <w:r w:rsidR="00F0647A" w:rsidRPr="00661E5A">
        <w:rPr>
          <w:spacing w:val="-4"/>
        </w:rPr>
        <w:t xml:space="preserve"> </w:t>
      </w:r>
      <w:r w:rsidR="003750A5" w:rsidRPr="00661E5A">
        <w:rPr>
          <w:spacing w:val="-4"/>
        </w:rPr>
        <w:t>were issued in 20</w:t>
      </w:r>
      <w:r w:rsidR="005119D8">
        <w:rPr>
          <w:spacing w:val="-4"/>
        </w:rPr>
        <w:t>11</w:t>
      </w:r>
      <w:r w:rsidR="003750A5" w:rsidRPr="00661E5A">
        <w:rPr>
          <w:spacing w:val="-4"/>
        </w:rPr>
        <w:t xml:space="preserve"> for </w:t>
      </w:r>
      <w:r w:rsidR="00F530A9" w:rsidRPr="00661E5A">
        <w:rPr>
          <w:spacing w:val="-4"/>
        </w:rPr>
        <w:t>organizational expenditures and startup costs</w:t>
      </w:r>
      <w:r w:rsidR="00CF056E" w:rsidRPr="00661E5A">
        <w:rPr>
          <w:spacing w:val="-4"/>
        </w:rPr>
        <w:t xml:space="preserve"> (s</w:t>
      </w:r>
      <w:r w:rsidR="00F530A9" w:rsidRPr="00661E5A">
        <w:rPr>
          <w:spacing w:val="-4"/>
        </w:rPr>
        <w:t xml:space="preserve">ee T.D. </w:t>
      </w:r>
      <w:r w:rsidR="005119D8">
        <w:rPr>
          <w:spacing w:val="-4"/>
        </w:rPr>
        <w:t>9542</w:t>
      </w:r>
      <w:r w:rsidR="00CF056E" w:rsidRPr="00661E5A">
        <w:rPr>
          <w:spacing w:val="-4"/>
        </w:rPr>
        <w:t>).</w:t>
      </w:r>
    </w:p>
    <w:p w:rsidR="00F0708A" w:rsidRDefault="00F0708A" w:rsidP="00F0708A">
      <w:pPr>
        <w:pStyle w:val="BodyTextIndent"/>
        <w:spacing w:line="240" w:lineRule="exact"/>
        <w:jc w:val="left"/>
        <w:rPr>
          <w:spacing w:val="-4"/>
        </w:rPr>
      </w:pPr>
    </w:p>
    <w:p w:rsidR="00F0708A" w:rsidRDefault="00F0708A" w:rsidP="00F0708A">
      <w:pPr>
        <w:pStyle w:val="BodyTextIndent"/>
        <w:spacing w:line="240" w:lineRule="exact"/>
        <w:jc w:val="left"/>
        <w:rPr>
          <w:spacing w:val="-4"/>
        </w:rPr>
      </w:pPr>
    </w:p>
    <w:p w:rsidR="00F0708A" w:rsidRDefault="00F0708A" w:rsidP="00F0708A">
      <w:pPr>
        <w:pStyle w:val="BodyTextIndent"/>
        <w:spacing w:line="240" w:lineRule="exact"/>
        <w:jc w:val="left"/>
        <w:rPr>
          <w:spacing w:val="-4"/>
        </w:rPr>
      </w:pPr>
    </w:p>
    <w:p w:rsidR="00775555" w:rsidRPr="00F0708A" w:rsidRDefault="0074170F" w:rsidP="00F0708A">
      <w:pPr>
        <w:pStyle w:val="BodyTextIndent"/>
        <w:spacing w:line="240" w:lineRule="exact"/>
        <w:jc w:val="left"/>
        <w:rPr>
          <w:spacing w:val="-4"/>
        </w:rPr>
      </w:pPr>
      <w:r>
        <w:rPr>
          <w:b/>
        </w:rPr>
        <w:t xml:space="preserve">2.3 </w:t>
      </w:r>
      <w:r w:rsidR="002574B4">
        <w:rPr>
          <w:b/>
        </w:rPr>
        <w:t>D</w:t>
      </w:r>
      <w:r w:rsidR="00775555">
        <w:rPr>
          <w:b/>
        </w:rPr>
        <w:t xml:space="preserve">ETERMINING THE CORPORATE </w:t>
      </w:r>
      <w:r w:rsidR="00913839">
        <w:rPr>
          <w:b/>
        </w:rPr>
        <w:t xml:space="preserve">INCOME </w:t>
      </w:r>
      <w:r w:rsidR="00775555">
        <w:rPr>
          <w:b/>
        </w:rPr>
        <w:t>TAX LIABILITY</w:t>
      </w:r>
    </w:p>
    <w:p w:rsidR="00775555" w:rsidRDefault="00775555" w:rsidP="002E04A8">
      <w:pPr>
        <w:keepNext/>
        <w:spacing w:line="240" w:lineRule="exact"/>
      </w:pPr>
    </w:p>
    <w:p w:rsidR="00775555" w:rsidRDefault="007D43F4" w:rsidP="002E04A8">
      <w:pPr>
        <w:pStyle w:val="mainanswerparagraph"/>
        <w:keepNext/>
        <w:jc w:val="left"/>
        <w:rPr>
          <w:rFonts w:ascii="Times New Roman" w:hAnsi="Times New Roman"/>
          <w:b/>
          <w:sz w:val="24"/>
        </w:rPr>
      </w:pPr>
      <w:r>
        <w:rPr>
          <w:rFonts w:ascii="Times New Roman" w:hAnsi="Times New Roman"/>
          <w:b/>
          <w:sz w:val="24"/>
        </w:rPr>
        <w:t>Corporate Income Tax Rates</w:t>
      </w:r>
    </w:p>
    <w:p w:rsidR="00775555" w:rsidRDefault="00775555" w:rsidP="002E04A8">
      <w:pPr>
        <w:keepNext/>
        <w:spacing w:line="240" w:lineRule="exact"/>
      </w:pPr>
    </w:p>
    <w:p w:rsidR="00775555" w:rsidRDefault="00913839" w:rsidP="002E04A8">
      <w:pPr>
        <w:pStyle w:val="mainanswerparagraph"/>
        <w:spacing w:after="240"/>
        <w:jc w:val="left"/>
        <w:rPr>
          <w:rFonts w:ascii="Times New Roman" w:hAnsi="Times New Roman"/>
          <w:sz w:val="24"/>
        </w:rPr>
      </w:pPr>
      <w:r>
        <w:rPr>
          <w:rFonts w:ascii="Times New Roman" w:hAnsi="Times New Roman"/>
          <w:sz w:val="24"/>
        </w:rPr>
        <w:t>2</w:t>
      </w:r>
      <w:r w:rsidR="00D11DE1">
        <w:rPr>
          <w:rFonts w:ascii="Times New Roman" w:hAnsi="Times New Roman"/>
          <w:sz w:val="24"/>
        </w:rPr>
        <w:t>2</w:t>
      </w:r>
      <w:r w:rsidR="00775555">
        <w:rPr>
          <w:rFonts w:ascii="Times New Roman" w:hAnsi="Times New Roman"/>
          <w:sz w:val="24"/>
        </w:rPr>
        <w:t>.</w:t>
      </w:r>
      <w:r w:rsidR="00775555">
        <w:rPr>
          <w:rFonts w:ascii="Times New Roman" w:hAnsi="Times New Roman"/>
          <w:sz w:val="24"/>
        </w:rPr>
        <w:tab/>
        <w:t>Corporations compute their Federal income tax liability using the rate structure contained in § 11(b) (</w:t>
      </w:r>
      <w:r w:rsidR="00AC1F29">
        <w:rPr>
          <w:rFonts w:ascii="Times New Roman" w:hAnsi="Times New Roman"/>
          <w:sz w:val="24"/>
        </w:rPr>
        <w:t xml:space="preserve">Exhibit </w:t>
      </w:r>
      <w:r w:rsidR="00747770">
        <w:rPr>
          <w:rFonts w:ascii="Times New Roman" w:hAnsi="Times New Roman"/>
          <w:sz w:val="24"/>
        </w:rPr>
        <w:t>2.</w:t>
      </w:r>
      <w:r w:rsidR="00AC1F29">
        <w:rPr>
          <w:rFonts w:ascii="Times New Roman" w:hAnsi="Times New Roman"/>
          <w:sz w:val="24"/>
        </w:rPr>
        <w:t xml:space="preserve">1 and </w:t>
      </w:r>
      <w:r w:rsidR="00775555">
        <w:rPr>
          <w:rFonts w:ascii="Times New Roman" w:hAnsi="Times New Roman"/>
          <w:sz w:val="24"/>
        </w:rPr>
        <w:t xml:space="preserve">inside front cover of text </w:t>
      </w:r>
      <w:proofErr w:type="gramStart"/>
      <w:r w:rsidR="00AC1F29">
        <w:rPr>
          <w:rFonts w:ascii="Times New Roman" w:hAnsi="Times New Roman"/>
          <w:sz w:val="24"/>
        </w:rPr>
        <w:t>have</w:t>
      </w:r>
      <w:proofErr w:type="gramEnd"/>
      <w:r w:rsidR="00775555">
        <w:rPr>
          <w:rFonts w:ascii="Times New Roman" w:hAnsi="Times New Roman"/>
          <w:sz w:val="24"/>
        </w:rPr>
        <w:t xml:space="preserve"> rate schedule</w:t>
      </w:r>
      <w:r w:rsidR="00AC1F29">
        <w:rPr>
          <w:rFonts w:ascii="Times New Roman" w:hAnsi="Times New Roman"/>
          <w:sz w:val="24"/>
        </w:rPr>
        <w:t>s</w:t>
      </w:r>
      <w:r w:rsidR="00775555">
        <w:rPr>
          <w:rFonts w:ascii="Times New Roman" w:hAnsi="Times New Roman"/>
          <w:sz w:val="24"/>
        </w:rPr>
        <w:t>).</w:t>
      </w:r>
    </w:p>
    <w:p w:rsidR="00775555" w:rsidRDefault="00775555" w:rsidP="002E04A8">
      <w:pPr>
        <w:pStyle w:val="Subpartsanswer"/>
        <w:tabs>
          <w:tab w:val="clear" w:pos="1296"/>
          <w:tab w:val="left" w:pos="1440"/>
        </w:tabs>
        <w:ind w:left="1440" w:hanging="720"/>
        <w:jc w:val="left"/>
        <w:rPr>
          <w:rFonts w:ascii="Times New Roman" w:hAnsi="Times New Roman"/>
          <w:sz w:val="24"/>
        </w:rPr>
      </w:pPr>
      <w:r>
        <w:rPr>
          <w:rFonts w:ascii="Times New Roman" w:hAnsi="Times New Roman"/>
          <w:sz w:val="24"/>
        </w:rPr>
        <w:t>a.</w:t>
      </w:r>
      <w:r>
        <w:rPr>
          <w:rFonts w:ascii="Times New Roman" w:hAnsi="Times New Roman"/>
          <w:sz w:val="24"/>
        </w:rPr>
        <w:tab/>
        <w:t xml:space="preserve">An additional </w:t>
      </w:r>
      <w:r w:rsidR="00E7641D">
        <w:rPr>
          <w:rFonts w:ascii="Times New Roman" w:hAnsi="Times New Roman"/>
          <w:sz w:val="24"/>
        </w:rPr>
        <w:t>sur</w:t>
      </w:r>
      <w:r>
        <w:rPr>
          <w:rFonts w:ascii="Times New Roman" w:hAnsi="Times New Roman"/>
          <w:sz w:val="24"/>
        </w:rPr>
        <w:t>tax of 5% is imposed on taxable income over $100,000, but such tax is not to exceed $11,750.</w:t>
      </w:r>
    </w:p>
    <w:p w:rsidR="00775555" w:rsidRDefault="00775555" w:rsidP="002E04A8">
      <w:pPr>
        <w:pStyle w:val="Subpartsanswer"/>
        <w:jc w:val="left"/>
        <w:rPr>
          <w:rFonts w:ascii="Times New Roman" w:hAnsi="Times New Roman"/>
          <w:sz w:val="24"/>
        </w:rPr>
      </w:pPr>
    </w:p>
    <w:p w:rsidR="00775555" w:rsidRDefault="00775555" w:rsidP="002E04A8">
      <w:pPr>
        <w:tabs>
          <w:tab w:val="left" w:pos="720"/>
          <w:tab w:val="left" w:pos="2160"/>
        </w:tabs>
        <w:spacing w:line="240" w:lineRule="exact"/>
        <w:ind w:left="2160" w:hanging="720"/>
      </w:pPr>
      <w:r>
        <w:t>(1)</w:t>
      </w:r>
      <w:r>
        <w:tab/>
        <w:t xml:space="preserve">Consequently, the tax savings from the lower rates [i.e., 15% (on the first $50,000) and 25% (on the next $25,000)] is </w:t>
      </w:r>
      <w:r w:rsidR="00A94DA4">
        <w:t xml:space="preserve">completely </w:t>
      </w:r>
      <w:r>
        <w:t xml:space="preserve">phased out once taxable income reaches $335,000 (Example </w:t>
      </w:r>
      <w:r w:rsidR="006C2FE5">
        <w:t>3</w:t>
      </w:r>
      <w:r w:rsidR="005119D8">
        <w:t>1</w:t>
      </w:r>
      <w:r>
        <w:t>).</w:t>
      </w:r>
    </w:p>
    <w:p w:rsidR="00775555" w:rsidRDefault="00775555" w:rsidP="002E04A8">
      <w:pPr>
        <w:tabs>
          <w:tab w:val="left" w:pos="720"/>
          <w:tab w:val="left" w:pos="2160"/>
        </w:tabs>
        <w:spacing w:line="240" w:lineRule="exact"/>
        <w:ind w:left="2160" w:hanging="720"/>
      </w:pPr>
    </w:p>
    <w:p w:rsidR="00775555" w:rsidRDefault="00775555" w:rsidP="002E04A8">
      <w:pPr>
        <w:tabs>
          <w:tab w:val="left" w:pos="720"/>
          <w:tab w:val="left" w:pos="2160"/>
        </w:tabs>
        <w:spacing w:line="240" w:lineRule="exact"/>
        <w:ind w:left="2160" w:hanging="720"/>
      </w:pPr>
      <w:r>
        <w:t>(2)</w:t>
      </w:r>
      <w:r>
        <w:tab/>
        <w:t>As noted in Chapter 1, the tax law shows definite favoritism towards small business</w:t>
      </w:r>
      <w:r w:rsidR="00B02C60">
        <w:t>es</w:t>
      </w:r>
      <w:r>
        <w:t>.</w:t>
      </w:r>
    </w:p>
    <w:p w:rsidR="00775555" w:rsidRDefault="00775555" w:rsidP="002E04A8">
      <w:pPr>
        <w:tabs>
          <w:tab w:val="left" w:pos="720"/>
          <w:tab w:val="left" w:pos="2016"/>
        </w:tabs>
        <w:spacing w:line="240" w:lineRule="exact"/>
        <w:ind w:left="2016" w:hanging="720"/>
      </w:pPr>
    </w:p>
    <w:p w:rsidR="00775555" w:rsidRDefault="00775555" w:rsidP="002E04A8">
      <w:pPr>
        <w:pStyle w:val="Subpartsanswer"/>
        <w:tabs>
          <w:tab w:val="clear" w:pos="1296"/>
          <w:tab w:val="left" w:pos="1440"/>
        </w:tabs>
        <w:spacing w:after="240"/>
        <w:ind w:left="1440" w:hanging="720"/>
        <w:jc w:val="left"/>
        <w:rPr>
          <w:rFonts w:ascii="Times New Roman" w:hAnsi="Times New Roman"/>
          <w:sz w:val="24"/>
        </w:rPr>
      </w:pPr>
      <w:proofErr w:type="gramStart"/>
      <w:r>
        <w:rPr>
          <w:rFonts w:ascii="Times New Roman" w:hAnsi="Times New Roman"/>
          <w:sz w:val="24"/>
        </w:rPr>
        <w:t>b</w:t>
      </w:r>
      <w:proofErr w:type="gramEnd"/>
      <w:r>
        <w:rPr>
          <w:rFonts w:ascii="Times New Roman" w:hAnsi="Times New Roman"/>
          <w:sz w:val="24"/>
        </w:rPr>
        <w:t>.</w:t>
      </w:r>
      <w:r>
        <w:rPr>
          <w:rFonts w:ascii="Times New Roman" w:hAnsi="Times New Roman"/>
          <w:sz w:val="24"/>
        </w:rPr>
        <w:tab/>
        <w:t>At $10</w:t>
      </w:r>
      <w:r w:rsidR="00A94DA4">
        <w:rPr>
          <w:rFonts w:ascii="Times New Roman" w:hAnsi="Times New Roman"/>
          <w:sz w:val="24"/>
        </w:rPr>
        <w:t xml:space="preserve"> million</w:t>
      </w:r>
      <w:r w:rsidR="00DD45A5">
        <w:rPr>
          <w:rFonts w:ascii="Times New Roman" w:hAnsi="Times New Roman"/>
          <w:sz w:val="24"/>
        </w:rPr>
        <w:t xml:space="preserve"> </w:t>
      </w:r>
      <w:r>
        <w:rPr>
          <w:rFonts w:ascii="Times New Roman" w:hAnsi="Times New Roman"/>
          <w:sz w:val="24"/>
        </w:rPr>
        <w:t>corporate rate g</w:t>
      </w:r>
      <w:r w:rsidR="00A94DA4">
        <w:rPr>
          <w:rFonts w:ascii="Times New Roman" w:hAnsi="Times New Roman"/>
          <w:sz w:val="24"/>
        </w:rPr>
        <w:t>oes to 35% and a</w:t>
      </w:r>
      <w:r>
        <w:rPr>
          <w:rFonts w:ascii="Times New Roman" w:hAnsi="Times New Roman"/>
          <w:sz w:val="24"/>
        </w:rPr>
        <w:t>t $15</w:t>
      </w:r>
      <w:r w:rsidR="00A94DA4">
        <w:rPr>
          <w:rFonts w:ascii="Times New Roman" w:hAnsi="Times New Roman"/>
          <w:sz w:val="24"/>
        </w:rPr>
        <w:t xml:space="preserve"> million</w:t>
      </w:r>
      <w:r w:rsidR="00DD45A5">
        <w:rPr>
          <w:rFonts w:ascii="Times New Roman" w:hAnsi="Times New Roman"/>
          <w:sz w:val="24"/>
        </w:rPr>
        <w:t>,</w:t>
      </w:r>
      <w:r w:rsidR="00536955">
        <w:rPr>
          <w:rFonts w:ascii="Times New Roman" w:hAnsi="Times New Roman"/>
          <w:sz w:val="24"/>
        </w:rPr>
        <w:t xml:space="preserve"> </w:t>
      </w:r>
      <w:r>
        <w:rPr>
          <w:rFonts w:ascii="Times New Roman" w:hAnsi="Times New Roman"/>
          <w:sz w:val="24"/>
        </w:rPr>
        <w:t xml:space="preserve">an additional 3% surtax </w:t>
      </w:r>
      <w:r w:rsidR="00DD45A5">
        <w:rPr>
          <w:rFonts w:ascii="Times New Roman" w:hAnsi="Times New Roman"/>
          <w:sz w:val="24"/>
        </w:rPr>
        <w:t xml:space="preserve">applies </w:t>
      </w:r>
      <w:r>
        <w:rPr>
          <w:rFonts w:ascii="Times New Roman" w:hAnsi="Times New Roman"/>
          <w:sz w:val="24"/>
        </w:rPr>
        <w:t xml:space="preserve">(which brings total rate to 38% </w:t>
      </w:r>
      <w:r w:rsidR="00DD45A5">
        <w:rPr>
          <w:rFonts w:ascii="Times New Roman" w:hAnsi="Times New Roman"/>
          <w:sz w:val="24"/>
        </w:rPr>
        <w:t>for</w:t>
      </w:r>
      <w:r>
        <w:rPr>
          <w:rFonts w:ascii="Times New Roman" w:hAnsi="Times New Roman"/>
          <w:sz w:val="24"/>
        </w:rPr>
        <w:t xml:space="preserve"> that bracket).</w:t>
      </w:r>
      <w:r w:rsidR="00536955">
        <w:rPr>
          <w:rFonts w:ascii="Times New Roman" w:hAnsi="Times New Roman"/>
          <w:sz w:val="24"/>
        </w:rPr>
        <w:t xml:space="preserve"> </w:t>
      </w:r>
      <w:r>
        <w:rPr>
          <w:rFonts w:ascii="Times New Roman" w:hAnsi="Times New Roman"/>
          <w:sz w:val="24"/>
        </w:rPr>
        <w:t>At $18,333,333, the surtax is no longer imposed.</w:t>
      </w:r>
    </w:p>
    <w:p w:rsidR="00775555" w:rsidRDefault="00775555" w:rsidP="002E04A8">
      <w:pPr>
        <w:pStyle w:val="Subpartsanswer"/>
        <w:tabs>
          <w:tab w:val="clear" w:pos="1296"/>
          <w:tab w:val="left" w:pos="1440"/>
        </w:tabs>
        <w:ind w:left="1440" w:hanging="720"/>
        <w:jc w:val="left"/>
        <w:rPr>
          <w:rFonts w:ascii="Times New Roman" w:hAnsi="Times New Roman"/>
          <w:sz w:val="24"/>
        </w:rPr>
      </w:pPr>
      <w:r>
        <w:rPr>
          <w:rFonts w:ascii="Times New Roman" w:hAnsi="Times New Roman"/>
          <w:sz w:val="24"/>
        </w:rPr>
        <w:t>c.</w:t>
      </w:r>
      <w:r>
        <w:rPr>
          <w:rFonts w:ascii="Times New Roman" w:hAnsi="Times New Roman"/>
          <w:sz w:val="24"/>
        </w:rPr>
        <w:tab/>
      </w:r>
      <w:r w:rsidRPr="005932A9">
        <w:rPr>
          <w:rFonts w:ascii="Times New Roman" w:hAnsi="Times New Roman"/>
          <w:sz w:val="24"/>
        </w:rPr>
        <w:t>Personal service corporations (PSCs) are motivated to reduce taxable income as much as possible since they are taxed at the 35% rate on all taxable income.</w:t>
      </w:r>
    </w:p>
    <w:p w:rsidR="00114D8E" w:rsidRDefault="00114D8E" w:rsidP="002E04A8">
      <w:pPr>
        <w:spacing w:line="240" w:lineRule="exact"/>
        <w:ind w:left="1440" w:hanging="720"/>
      </w:pPr>
    </w:p>
    <w:p w:rsidR="00114D8E" w:rsidRDefault="00114D8E" w:rsidP="00183068">
      <w:pPr>
        <w:spacing w:line="240" w:lineRule="exact"/>
        <w:ind w:left="2160" w:hanging="720"/>
      </w:pPr>
      <w:r>
        <w:t>(1)</w:t>
      </w:r>
      <w:r>
        <w:tab/>
      </w:r>
      <w:r w:rsidRPr="00E757F1">
        <w:rPr>
          <w:spacing w:val="4"/>
        </w:rPr>
        <w:t>PSC is a</w:t>
      </w:r>
      <w:r w:rsidR="00C06E5A" w:rsidRPr="00E757F1">
        <w:rPr>
          <w:spacing w:val="4"/>
        </w:rPr>
        <w:t xml:space="preserve"> </w:t>
      </w:r>
      <w:r w:rsidRPr="00E757F1">
        <w:rPr>
          <w:spacing w:val="4"/>
        </w:rPr>
        <w:t>corporation substantially</w:t>
      </w:r>
      <w:r w:rsidR="00802102" w:rsidRPr="00E757F1">
        <w:rPr>
          <w:spacing w:val="4"/>
        </w:rPr>
        <w:t xml:space="preserve"> </w:t>
      </w:r>
      <w:r w:rsidR="00C06E5A" w:rsidRPr="00E757F1">
        <w:rPr>
          <w:spacing w:val="4"/>
        </w:rPr>
        <w:t xml:space="preserve">owned by employees </w:t>
      </w:r>
      <w:r w:rsidR="001B7BB7" w:rsidRPr="00E757F1">
        <w:rPr>
          <w:spacing w:val="4"/>
        </w:rPr>
        <w:t>(current, retired</w:t>
      </w:r>
      <w:r w:rsidR="00B517E9" w:rsidRPr="00E757F1">
        <w:rPr>
          <w:spacing w:val="4"/>
        </w:rPr>
        <w:t>,</w:t>
      </w:r>
      <w:r w:rsidR="001B7BB7" w:rsidRPr="00E757F1">
        <w:rPr>
          <w:spacing w:val="4"/>
        </w:rPr>
        <w:t xml:space="preserve"> estates thereof</w:t>
      </w:r>
      <w:r w:rsidR="00B517E9" w:rsidRPr="00E757F1">
        <w:rPr>
          <w:spacing w:val="4"/>
        </w:rPr>
        <w:t xml:space="preserve">, or estate beneficiary) </w:t>
      </w:r>
      <w:r w:rsidR="00C06E5A" w:rsidRPr="00E757F1">
        <w:rPr>
          <w:spacing w:val="4"/>
        </w:rPr>
        <w:t xml:space="preserve">and </w:t>
      </w:r>
      <w:r w:rsidR="00920354" w:rsidRPr="00E757F1">
        <w:rPr>
          <w:spacing w:val="4"/>
        </w:rPr>
        <w:t>it</w:t>
      </w:r>
      <w:r w:rsidR="005119D8">
        <w:rPr>
          <w:spacing w:val="4"/>
        </w:rPr>
        <w:t>s</w:t>
      </w:r>
      <w:r w:rsidR="00920354" w:rsidRPr="00E757F1">
        <w:rPr>
          <w:spacing w:val="4"/>
        </w:rPr>
        <w:t xml:space="preserve"> business </w:t>
      </w:r>
      <w:r w:rsidRPr="00E757F1">
        <w:rPr>
          <w:spacing w:val="4"/>
        </w:rPr>
        <w:t xml:space="preserve">activities </w:t>
      </w:r>
      <w:r w:rsidR="005119D8">
        <w:rPr>
          <w:spacing w:val="4"/>
        </w:rPr>
        <w:t xml:space="preserve">consist of </w:t>
      </w:r>
      <w:r w:rsidRPr="00E757F1">
        <w:rPr>
          <w:spacing w:val="4"/>
        </w:rPr>
        <w:t>the performance of services in qualifying fields</w:t>
      </w:r>
      <w:proofErr w:type="gramStart"/>
      <w:r w:rsidR="00920354" w:rsidRPr="00E757F1">
        <w:rPr>
          <w:spacing w:val="4"/>
        </w:rPr>
        <w:t>.</w:t>
      </w:r>
      <w:r w:rsidRPr="00E757F1">
        <w:rPr>
          <w:spacing w:val="4"/>
        </w:rPr>
        <w:t>[</w:t>
      </w:r>
      <w:proofErr w:type="gramEnd"/>
      <w:r w:rsidRPr="00E757F1">
        <w:rPr>
          <w:spacing w:val="4"/>
        </w:rPr>
        <w:t>§§ 11(b)(2) and 448(d)].</w:t>
      </w:r>
    </w:p>
    <w:p w:rsidR="002420F4" w:rsidRDefault="002420F4" w:rsidP="00183068">
      <w:pPr>
        <w:spacing w:line="240" w:lineRule="exact"/>
        <w:ind w:left="2160" w:hanging="720"/>
      </w:pPr>
    </w:p>
    <w:p w:rsidR="00114D8E" w:rsidRDefault="00114D8E" w:rsidP="00183068">
      <w:pPr>
        <w:spacing w:line="240" w:lineRule="exact"/>
        <w:ind w:left="2160" w:hanging="720"/>
      </w:pPr>
      <w:r>
        <w:t>(2)</w:t>
      </w:r>
      <w:r>
        <w:tab/>
        <w:t>This definition of a PSC also applies for purposes of the limitation on the cash method of accounting (</w:t>
      </w:r>
      <w:r w:rsidR="00B443D1">
        <w:t xml:space="preserve">outline </w:t>
      </w:r>
      <w:r>
        <w:t>item 13). However, for purposes of the limitation on the use of a fiscal year (</w:t>
      </w:r>
      <w:r w:rsidR="00B443D1">
        <w:t xml:space="preserve">outline </w:t>
      </w:r>
      <w:r>
        <w:t xml:space="preserve">item 12), definition of PSC </w:t>
      </w:r>
      <w:r w:rsidR="00B443D1">
        <w:t xml:space="preserve">is </w:t>
      </w:r>
      <w:r>
        <w:t xml:space="preserve">under §§ </w:t>
      </w:r>
      <w:proofErr w:type="gramStart"/>
      <w:r>
        <w:t>269A(</w:t>
      </w:r>
      <w:proofErr w:type="gramEnd"/>
      <w:r>
        <w:t>b) and 441(i)(2).</w:t>
      </w:r>
    </w:p>
    <w:p w:rsidR="007630CF" w:rsidRDefault="007630CF" w:rsidP="002E04A8">
      <w:pPr>
        <w:spacing w:line="240" w:lineRule="exact"/>
        <w:ind w:left="2160" w:hanging="1440"/>
      </w:pPr>
    </w:p>
    <w:p w:rsidR="000C0EAD" w:rsidRDefault="000C0EAD" w:rsidP="002E04A8">
      <w:pPr>
        <w:pStyle w:val="subquestionpara"/>
        <w:keepNext/>
        <w:rPr>
          <w:rFonts w:ascii="Times New Roman" w:hAnsi="Times New Roman"/>
          <w:sz w:val="16"/>
        </w:rPr>
      </w:pPr>
    </w:p>
    <w:p w:rsidR="000C0EAD" w:rsidRDefault="000C0EAD" w:rsidP="002E04A8">
      <w:pPr>
        <w:keepNext/>
        <w:pBdr>
          <w:top w:val="double" w:sz="6" w:space="0" w:color="000000"/>
          <w:bottom w:val="double" w:sz="6" w:space="0" w:color="000000"/>
        </w:pBdr>
        <w:shd w:val="pct10" w:color="auto" w:fill="auto"/>
        <w:spacing w:line="240" w:lineRule="exact"/>
        <w:jc w:val="center"/>
        <w:rPr>
          <w:b/>
        </w:rPr>
      </w:pPr>
    </w:p>
    <w:p w:rsidR="000C0EAD" w:rsidRDefault="000C0EAD" w:rsidP="00DF7775">
      <w:pPr>
        <w:keepNext/>
        <w:pBdr>
          <w:top w:val="double" w:sz="6" w:space="0" w:color="000000"/>
          <w:bottom w:val="double" w:sz="6" w:space="0" w:color="000000"/>
        </w:pBdr>
        <w:shd w:val="pct10" w:color="auto" w:fill="auto"/>
        <w:spacing w:before="240" w:line="240" w:lineRule="exact"/>
        <w:jc w:val="center"/>
      </w:pPr>
      <w:r>
        <w:rPr>
          <w:b/>
          <w:position w:val="12"/>
        </w:rPr>
        <w:t>ADDITIONAL LECTURE RESOURCE</w:t>
      </w:r>
    </w:p>
    <w:p w:rsidR="000C0EAD" w:rsidRDefault="000C0EAD" w:rsidP="002E04A8">
      <w:pPr>
        <w:pStyle w:val="Subpartsanswer"/>
        <w:keepNext/>
        <w:rPr>
          <w:rFonts w:ascii="Times New Roman" w:hAnsi="Times New Roman"/>
          <w:sz w:val="24"/>
        </w:rPr>
      </w:pPr>
    </w:p>
    <w:p w:rsidR="000C0EAD" w:rsidRPr="00B02C60" w:rsidRDefault="000C0EAD" w:rsidP="002E04A8">
      <w:pPr>
        <w:spacing w:line="240" w:lineRule="exact"/>
        <w:jc w:val="both"/>
        <w:rPr>
          <w:spacing w:val="4"/>
        </w:rPr>
      </w:pPr>
      <w:r w:rsidRPr="00B02C60">
        <w:rPr>
          <w:spacing w:val="4"/>
        </w:rPr>
        <w:t xml:space="preserve">PSC Substantially All Activity Test. As to the function requirement, </w:t>
      </w:r>
      <w:proofErr w:type="gramStart"/>
      <w:r w:rsidRPr="00B02C60">
        <w:rPr>
          <w:spacing w:val="4"/>
        </w:rPr>
        <w:t>Temp</w:t>
      </w:r>
      <w:proofErr w:type="gramEnd"/>
      <w:r w:rsidRPr="00B02C60">
        <w:rPr>
          <w:spacing w:val="4"/>
        </w:rPr>
        <w:t>. Reg. § 1.448-</w:t>
      </w:r>
      <w:proofErr w:type="gramStart"/>
      <w:r w:rsidRPr="00B02C60">
        <w:rPr>
          <w:spacing w:val="4"/>
        </w:rPr>
        <w:t>1T(</w:t>
      </w:r>
      <w:proofErr w:type="gramEnd"/>
      <w:r w:rsidRPr="00B02C60">
        <w:rPr>
          <w:spacing w:val="4"/>
        </w:rPr>
        <w:t xml:space="preserve">e)(4) provides that the “substantially all” test is met if 95% or more of the time spent by </w:t>
      </w:r>
      <w:r w:rsidRPr="00B02C60">
        <w:rPr>
          <w:spacing w:val="4"/>
        </w:rPr>
        <w:lastRenderedPageBreak/>
        <w:t>employees of the corporation is devoted to performing services in qualifying fields. A case addressing the function requirement is</w:t>
      </w:r>
      <w:r w:rsidR="00CF056E" w:rsidRPr="00B02C60">
        <w:rPr>
          <w:spacing w:val="4"/>
        </w:rPr>
        <w:t xml:space="preserve"> </w:t>
      </w:r>
      <w:proofErr w:type="spellStart"/>
      <w:r w:rsidR="00CF056E" w:rsidRPr="00B02C60">
        <w:rPr>
          <w:i/>
          <w:spacing w:val="4"/>
        </w:rPr>
        <w:t>Grutman-Mazler</w:t>
      </w:r>
      <w:proofErr w:type="spellEnd"/>
      <w:r w:rsidR="00CF056E" w:rsidRPr="00B02C60">
        <w:rPr>
          <w:i/>
          <w:spacing w:val="4"/>
        </w:rPr>
        <w:t xml:space="preserve"> Engineering</w:t>
      </w:r>
      <w:r w:rsidR="006C2FE5" w:rsidRPr="00B02C60">
        <w:rPr>
          <w:i/>
          <w:spacing w:val="4"/>
        </w:rPr>
        <w:t>,</w:t>
      </w:r>
      <w:r w:rsidR="00CF056E" w:rsidRPr="00B02C60">
        <w:rPr>
          <w:i/>
          <w:spacing w:val="4"/>
        </w:rPr>
        <w:t xml:space="preserve"> Inc.</w:t>
      </w:r>
      <w:r w:rsidR="00682DFF">
        <w:rPr>
          <w:i/>
          <w:spacing w:val="4"/>
        </w:rPr>
        <w:t xml:space="preserve">, </w:t>
      </w:r>
      <w:r w:rsidR="00682DFF" w:rsidRPr="00682DFF">
        <w:rPr>
          <w:spacing w:val="4"/>
        </w:rPr>
        <w:t>95 TCM 1551</w:t>
      </w:r>
      <w:r w:rsidR="00682DFF">
        <w:rPr>
          <w:spacing w:val="4"/>
        </w:rPr>
        <w:t xml:space="preserve">, </w:t>
      </w:r>
      <w:proofErr w:type="gramStart"/>
      <w:r w:rsidR="00CF056E" w:rsidRPr="00B02C60">
        <w:rPr>
          <w:spacing w:val="4"/>
        </w:rPr>
        <w:t>T</w:t>
      </w:r>
      <w:r w:rsidR="00682DFF">
        <w:rPr>
          <w:spacing w:val="4"/>
        </w:rPr>
        <w:t>.</w:t>
      </w:r>
      <w:r w:rsidR="00CF056E" w:rsidRPr="00B02C60">
        <w:rPr>
          <w:spacing w:val="4"/>
        </w:rPr>
        <w:t>C</w:t>
      </w:r>
      <w:proofErr w:type="gramEnd"/>
      <w:r w:rsidR="00682DFF">
        <w:rPr>
          <w:spacing w:val="4"/>
        </w:rPr>
        <w:t>.</w:t>
      </w:r>
      <w:r w:rsidR="00CF056E" w:rsidRPr="00B02C60">
        <w:rPr>
          <w:spacing w:val="4"/>
        </w:rPr>
        <w:t xml:space="preserve"> Memo</w:t>
      </w:r>
      <w:r w:rsidR="00682DFF">
        <w:rPr>
          <w:spacing w:val="4"/>
        </w:rPr>
        <w:t>.</w:t>
      </w:r>
      <w:r w:rsidR="00CF056E" w:rsidRPr="00B02C60">
        <w:rPr>
          <w:spacing w:val="4"/>
        </w:rPr>
        <w:t xml:space="preserve"> </w:t>
      </w:r>
      <w:proofErr w:type="gramStart"/>
      <w:r w:rsidR="00CF056E" w:rsidRPr="00B02C60">
        <w:rPr>
          <w:spacing w:val="4"/>
        </w:rPr>
        <w:t>2008-140</w:t>
      </w:r>
      <w:r w:rsidR="00682DFF">
        <w:rPr>
          <w:spacing w:val="4"/>
        </w:rPr>
        <w:t>.</w:t>
      </w:r>
      <w:proofErr w:type="gramEnd"/>
      <w:r w:rsidR="0045682D" w:rsidRPr="00B02C60">
        <w:rPr>
          <w:spacing w:val="4"/>
        </w:rPr>
        <w:t xml:space="preserve"> </w:t>
      </w:r>
    </w:p>
    <w:p w:rsidR="000C0EAD" w:rsidRPr="00407B0D" w:rsidRDefault="000C0EAD" w:rsidP="002E04A8">
      <w:pPr>
        <w:spacing w:line="240" w:lineRule="exact"/>
        <w:jc w:val="both"/>
        <w:rPr>
          <w:spacing w:val="-4"/>
        </w:rPr>
      </w:pPr>
    </w:p>
    <w:p w:rsidR="000C0EAD" w:rsidRPr="00BA6966" w:rsidRDefault="000C0EAD" w:rsidP="002E04A8">
      <w:pPr>
        <w:spacing w:line="240" w:lineRule="exact"/>
        <w:jc w:val="both"/>
      </w:pPr>
      <w:r w:rsidRPr="00E757F1">
        <w:rPr>
          <w:spacing w:val="4"/>
        </w:rPr>
        <w:t>Similarly, Temp. Reg. § 1.448-</w:t>
      </w:r>
      <w:proofErr w:type="gramStart"/>
      <w:r w:rsidRPr="00E757F1">
        <w:rPr>
          <w:spacing w:val="4"/>
        </w:rPr>
        <w:t>1T(</w:t>
      </w:r>
      <w:proofErr w:type="gramEnd"/>
      <w:r w:rsidRPr="00E757F1">
        <w:rPr>
          <w:spacing w:val="4"/>
        </w:rPr>
        <w:t>e)(5) establish</w:t>
      </w:r>
      <w:r w:rsidR="00661E5A">
        <w:rPr>
          <w:spacing w:val="4"/>
        </w:rPr>
        <w:t>es</w:t>
      </w:r>
      <w:r w:rsidRPr="00E757F1">
        <w:rPr>
          <w:spacing w:val="4"/>
        </w:rPr>
        <w:t xml:space="preserve"> a 95% or more threshold for satisfying the stock ownership requirement. </w:t>
      </w:r>
      <w:r w:rsidR="00682DFF">
        <w:rPr>
          <w:spacing w:val="4"/>
        </w:rPr>
        <w:t>For a c</w:t>
      </w:r>
      <w:r w:rsidRPr="00E757F1">
        <w:rPr>
          <w:spacing w:val="4"/>
        </w:rPr>
        <w:t xml:space="preserve">ase addressing the ownership requirement </w:t>
      </w:r>
      <w:r w:rsidR="00682DFF">
        <w:rPr>
          <w:spacing w:val="4"/>
        </w:rPr>
        <w:t xml:space="preserve">see </w:t>
      </w:r>
      <w:r w:rsidRPr="00E757F1">
        <w:rPr>
          <w:i/>
          <w:spacing w:val="4"/>
        </w:rPr>
        <w:t>Robertson Strong &amp; Apgar Architects, PC</w:t>
      </w:r>
      <w:r w:rsidRPr="00E757F1">
        <w:rPr>
          <w:spacing w:val="4"/>
        </w:rPr>
        <w:t xml:space="preserve">, </w:t>
      </w:r>
      <w:proofErr w:type="gramStart"/>
      <w:r w:rsidRPr="00E757F1">
        <w:rPr>
          <w:color w:val="000000"/>
          <w:spacing w:val="4"/>
          <w:lang w:val="en"/>
        </w:rPr>
        <w:t>T.C</w:t>
      </w:r>
      <w:proofErr w:type="gramEnd"/>
      <w:r w:rsidRPr="00E757F1">
        <w:rPr>
          <w:color w:val="000000"/>
          <w:spacing w:val="4"/>
          <w:lang w:val="en"/>
        </w:rPr>
        <w:t>. Summary Opinion 2007-48</w:t>
      </w:r>
      <w:r w:rsidRPr="00407B0D">
        <w:rPr>
          <w:spacing w:val="-4"/>
        </w:rPr>
        <w:t>.</w:t>
      </w:r>
    </w:p>
    <w:p w:rsidR="000C0EAD" w:rsidRDefault="000C0EAD" w:rsidP="002E04A8">
      <w:pPr>
        <w:pBdr>
          <w:bottom w:val="double" w:sz="6" w:space="1" w:color="auto"/>
        </w:pBdr>
        <w:tabs>
          <w:tab w:val="right" w:pos="9720"/>
        </w:tabs>
        <w:spacing w:line="240" w:lineRule="exact"/>
        <w:jc w:val="both"/>
      </w:pPr>
      <w:r>
        <w:tab/>
      </w:r>
    </w:p>
    <w:p w:rsidR="000C0EAD" w:rsidRDefault="000C0EAD" w:rsidP="002E04A8">
      <w:pPr>
        <w:spacing w:line="240" w:lineRule="exact"/>
        <w:rPr>
          <w:b/>
        </w:rPr>
      </w:pPr>
    </w:p>
    <w:p w:rsidR="007630CF" w:rsidRDefault="007630CF" w:rsidP="002E04A8">
      <w:pPr>
        <w:spacing w:line="240" w:lineRule="exact"/>
        <w:rPr>
          <w:b/>
        </w:rPr>
      </w:pPr>
    </w:p>
    <w:p w:rsidR="007D43F4" w:rsidRPr="007D43F4" w:rsidRDefault="007D43F4" w:rsidP="00684849">
      <w:pPr>
        <w:keepNext/>
        <w:spacing w:line="240" w:lineRule="exact"/>
        <w:ind w:left="720" w:hanging="720"/>
        <w:rPr>
          <w:b/>
        </w:rPr>
      </w:pPr>
      <w:r w:rsidRPr="007D43F4">
        <w:rPr>
          <w:b/>
        </w:rPr>
        <w:t>Alternative Minimum Tax</w:t>
      </w:r>
    </w:p>
    <w:p w:rsidR="00775555" w:rsidRDefault="00775555" w:rsidP="00684849">
      <w:pPr>
        <w:pStyle w:val="subquestionpara"/>
        <w:keepNext/>
        <w:rPr>
          <w:rFonts w:ascii="Times New Roman" w:hAnsi="Times New Roman"/>
          <w:sz w:val="24"/>
        </w:rPr>
      </w:pPr>
    </w:p>
    <w:p w:rsidR="00775555" w:rsidRDefault="00913839" w:rsidP="002E04A8">
      <w:pPr>
        <w:pStyle w:val="mainanswerparagraph"/>
        <w:jc w:val="left"/>
        <w:rPr>
          <w:rFonts w:ascii="Times New Roman" w:hAnsi="Times New Roman"/>
          <w:sz w:val="24"/>
        </w:rPr>
      </w:pPr>
      <w:r>
        <w:rPr>
          <w:rFonts w:ascii="Times New Roman" w:hAnsi="Times New Roman"/>
          <w:sz w:val="24"/>
        </w:rPr>
        <w:t>2</w:t>
      </w:r>
      <w:r w:rsidR="00D11DE1">
        <w:rPr>
          <w:rFonts w:ascii="Times New Roman" w:hAnsi="Times New Roman"/>
          <w:sz w:val="24"/>
        </w:rPr>
        <w:t>3</w:t>
      </w:r>
      <w:r w:rsidR="00775555">
        <w:rPr>
          <w:rFonts w:ascii="Times New Roman" w:hAnsi="Times New Roman"/>
          <w:sz w:val="24"/>
        </w:rPr>
        <w:t>.</w:t>
      </w:r>
      <w:r w:rsidR="00775555">
        <w:rPr>
          <w:rFonts w:ascii="Times New Roman" w:hAnsi="Times New Roman"/>
          <w:sz w:val="24"/>
        </w:rPr>
        <w:tab/>
        <w:t xml:space="preserve">Corporations (other than “small corporations”) are subject to an </w:t>
      </w:r>
      <w:r w:rsidR="00775555" w:rsidRPr="00E7641D">
        <w:rPr>
          <w:rFonts w:ascii="Times New Roman" w:hAnsi="Times New Roman"/>
          <w:sz w:val="24"/>
        </w:rPr>
        <w:t>alternative minimum tax (AMT) that is similar to the AMT of individuals. Most adjustments</w:t>
      </w:r>
      <w:r w:rsidR="00775555">
        <w:rPr>
          <w:rFonts w:ascii="Times New Roman" w:hAnsi="Times New Roman"/>
          <w:sz w:val="24"/>
        </w:rPr>
        <w:t xml:space="preserve"> and preferences are the same as for individuals, but the rates and exemption amounts are different. See Chapter </w:t>
      </w:r>
      <w:r w:rsidR="00E7641D">
        <w:rPr>
          <w:rFonts w:ascii="Times New Roman" w:hAnsi="Times New Roman"/>
          <w:sz w:val="24"/>
        </w:rPr>
        <w:t>3</w:t>
      </w:r>
      <w:r w:rsidR="00775555">
        <w:rPr>
          <w:rFonts w:ascii="Times New Roman" w:hAnsi="Times New Roman"/>
          <w:sz w:val="24"/>
        </w:rPr>
        <w:t xml:space="preserve"> for a detailed discussion of the AMT.</w:t>
      </w:r>
    </w:p>
    <w:p w:rsidR="00775555" w:rsidRDefault="00775555" w:rsidP="002E04A8">
      <w:pPr>
        <w:pStyle w:val="BP"/>
        <w:rPr>
          <w:rFonts w:ascii="Times New Roman" w:hAnsi="Times New Roman"/>
          <w:sz w:val="24"/>
        </w:rPr>
      </w:pPr>
    </w:p>
    <w:p w:rsidR="00775555" w:rsidRDefault="00A425E8" w:rsidP="002E04A8">
      <w:pPr>
        <w:pStyle w:val="mainanswerparagraph"/>
        <w:jc w:val="left"/>
        <w:rPr>
          <w:rFonts w:ascii="Times New Roman" w:hAnsi="Times New Roman"/>
          <w:b/>
          <w:sz w:val="24"/>
        </w:rPr>
      </w:pPr>
      <w:r>
        <w:rPr>
          <w:rFonts w:ascii="Times New Roman" w:hAnsi="Times New Roman"/>
          <w:b/>
          <w:sz w:val="24"/>
        </w:rPr>
        <w:t xml:space="preserve">Tax Liability of Related Corporations </w:t>
      </w:r>
    </w:p>
    <w:p w:rsidR="002406C5" w:rsidRDefault="002406C5" w:rsidP="002E04A8">
      <w:pPr>
        <w:pStyle w:val="mainanswerparagraph"/>
        <w:jc w:val="left"/>
        <w:rPr>
          <w:rFonts w:ascii="Times New Roman" w:hAnsi="Times New Roman"/>
          <w:sz w:val="24"/>
        </w:rPr>
      </w:pPr>
    </w:p>
    <w:p w:rsidR="00775555" w:rsidRDefault="00913839" w:rsidP="002E04A8">
      <w:pPr>
        <w:spacing w:line="240" w:lineRule="exact"/>
        <w:ind w:left="720" w:hanging="720"/>
        <w:rPr>
          <w:b/>
        </w:rPr>
      </w:pPr>
      <w:r>
        <w:t>2</w:t>
      </w:r>
      <w:r w:rsidR="00D11DE1">
        <w:t>4</w:t>
      </w:r>
      <w:r w:rsidR="00422B8E">
        <w:t>.</w:t>
      </w:r>
      <w:r w:rsidR="00422B8E">
        <w:tab/>
      </w:r>
      <w:r w:rsidR="00775555" w:rsidRPr="00E7641D">
        <w:t>A controlled group of corporations is entitled to one $250,000 accumulated earnings tax credit</w:t>
      </w:r>
      <w:r w:rsidR="00264EDD" w:rsidRPr="00E7641D">
        <w:t xml:space="preserve">, one $40,000 exemption for the AMT, </w:t>
      </w:r>
      <w:r w:rsidR="00775555" w:rsidRPr="00E7641D">
        <w:t>and is limited to taxable income in each of the first two brackets as though the group was one corporation.</w:t>
      </w:r>
      <w:r w:rsidR="00536955">
        <w:t xml:space="preserve"> </w:t>
      </w:r>
      <w:r w:rsidR="00775555" w:rsidRPr="00E7641D">
        <w:t>(</w:t>
      </w:r>
      <w:r w:rsidR="00614BE9">
        <w:t>S</w:t>
      </w:r>
      <w:r w:rsidR="00264EDD" w:rsidRPr="00E7641D">
        <w:t xml:space="preserve">ee </w:t>
      </w:r>
      <w:r w:rsidR="00775555" w:rsidRPr="00E7641D">
        <w:t xml:space="preserve">Examples </w:t>
      </w:r>
      <w:r w:rsidR="005119D8">
        <w:t>32</w:t>
      </w:r>
      <w:r w:rsidR="00775555" w:rsidRPr="00E7641D">
        <w:t xml:space="preserve"> and 3</w:t>
      </w:r>
      <w:r w:rsidR="005119D8">
        <w:t>3</w:t>
      </w:r>
      <w:r w:rsidR="00775555" w:rsidRPr="00E7641D">
        <w:t>)</w:t>
      </w:r>
      <w:r w:rsidR="00536955">
        <w:t xml:space="preserve"> </w:t>
      </w:r>
      <w:r w:rsidR="00775555" w:rsidRPr="00E7641D">
        <w:t xml:space="preserve">Controlled groups are parent-subsidiary corporations, brother-sister groups, </w:t>
      </w:r>
      <w:r w:rsidR="00E17849" w:rsidRPr="00E7641D">
        <w:t xml:space="preserve">combined groups </w:t>
      </w:r>
      <w:r w:rsidR="00775555" w:rsidRPr="00E7641D">
        <w:t>and certain insurance companies.</w:t>
      </w:r>
      <w:r w:rsidR="00D05DE1" w:rsidRPr="00E7641D">
        <w:rPr>
          <w:b/>
        </w:rPr>
        <w:t xml:space="preserve"> </w:t>
      </w:r>
    </w:p>
    <w:p w:rsidR="006C2FE5" w:rsidRDefault="006C2FE5" w:rsidP="002E04A8">
      <w:pPr>
        <w:spacing w:line="240" w:lineRule="exact"/>
        <w:ind w:left="720" w:hanging="720"/>
        <w:rPr>
          <w:b/>
        </w:rPr>
      </w:pPr>
    </w:p>
    <w:p w:rsidR="006C2FE5" w:rsidRPr="00661E5A" w:rsidRDefault="006C2FE5" w:rsidP="002E04A8">
      <w:pPr>
        <w:spacing w:line="240" w:lineRule="exact"/>
        <w:ind w:left="720" w:hanging="720"/>
      </w:pPr>
      <w:r>
        <w:rPr>
          <w:b/>
        </w:rPr>
        <w:tab/>
      </w:r>
      <w:r w:rsidRPr="00661E5A">
        <w:t xml:space="preserve">Final regulations on which </w:t>
      </w:r>
      <w:r w:rsidR="009206EC" w:rsidRPr="00661E5A">
        <w:t>corporations</w:t>
      </w:r>
      <w:r w:rsidRPr="00661E5A">
        <w:t xml:space="preserve"> are included in a controlled group were issued in 2009</w:t>
      </w:r>
      <w:r w:rsidR="009206EC" w:rsidRPr="00661E5A">
        <w:t xml:space="preserve"> (T.D. 9451). See Reg. § 1.1563-1 for definition of “controlled group of corporations.”</w:t>
      </w:r>
      <w:r w:rsidR="00661E5A" w:rsidRPr="00661E5A">
        <w:t xml:space="preserve"> </w:t>
      </w:r>
    </w:p>
    <w:p w:rsidR="00661E5A" w:rsidRPr="00661E5A" w:rsidRDefault="00661E5A" w:rsidP="002E04A8">
      <w:pPr>
        <w:spacing w:line="240" w:lineRule="exact"/>
        <w:ind w:left="720" w:hanging="720"/>
      </w:pPr>
    </w:p>
    <w:p w:rsidR="00661E5A" w:rsidRDefault="00661E5A" w:rsidP="00661E5A">
      <w:pPr>
        <w:spacing w:line="240" w:lineRule="exact"/>
        <w:ind w:left="720" w:hanging="720"/>
      </w:pPr>
      <w:r w:rsidRPr="00661E5A">
        <w:rPr>
          <w:b/>
        </w:rPr>
        <w:tab/>
      </w:r>
      <w:r w:rsidRPr="00661E5A">
        <w:t>Final regulations on apportionment of tax items among controlled group members were issued in 2010 (T.D. 9476). See Reg. § 1.1561-1 et seq.</w:t>
      </w:r>
    </w:p>
    <w:p w:rsidR="00661E5A" w:rsidRPr="006C2FE5" w:rsidRDefault="00661E5A" w:rsidP="002E04A8">
      <w:pPr>
        <w:spacing w:line="240" w:lineRule="exact"/>
        <w:ind w:left="720" w:hanging="720"/>
      </w:pPr>
    </w:p>
    <w:p w:rsidR="005119D8" w:rsidRDefault="005119D8" w:rsidP="005119D8">
      <w:pPr>
        <w:pStyle w:val="subquestionpara"/>
        <w:keepNext/>
        <w:rPr>
          <w:rFonts w:ascii="Times New Roman" w:hAnsi="Times New Roman"/>
          <w:sz w:val="16"/>
        </w:rPr>
      </w:pPr>
    </w:p>
    <w:p w:rsidR="005119D8" w:rsidRDefault="005119D8" w:rsidP="005119D8">
      <w:pPr>
        <w:keepNext/>
        <w:pBdr>
          <w:top w:val="double" w:sz="6" w:space="0" w:color="000000"/>
          <w:bottom w:val="double" w:sz="6" w:space="0" w:color="000000"/>
        </w:pBdr>
        <w:shd w:val="pct10" w:color="auto" w:fill="auto"/>
        <w:spacing w:line="240" w:lineRule="exact"/>
        <w:jc w:val="center"/>
        <w:rPr>
          <w:b/>
        </w:rPr>
      </w:pPr>
    </w:p>
    <w:p w:rsidR="005119D8" w:rsidRDefault="005119D8" w:rsidP="00DF7775">
      <w:pPr>
        <w:keepNext/>
        <w:pBdr>
          <w:top w:val="double" w:sz="6" w:space="0" w:color="000000"/>
          <w:bottom w:val="double" w:sz="6" w:space="0" w:color="000000"/>
        </w:pBdr>
        <w:shd w:val="pct10" w:color="auto" w:fill="auto"/>
        <w:spacing w:before="240" w:line="240" w:lineRule="exact"/>
        <w:jc w:val="center"/>
      </w:pPr>
      <w:bookmarkStart w:id="2" w:name="_GoBack"/>
      <w:r>
        <w:rPr>
          <w:b/>
          <w:position w:val="12"/>
        </w:rPr>
        <w:t>ETHICS &amp; EQUITY</w:t>
      </w:r>
    </w:p>
    <w:bookmarkEnd w:id="2"/>
    <w:p w:rsidR="005119D8" w:rsidRDefault="005119D8" w:rsidP="005119D8">
      <w:pPr>
        <w:pStyle w:val="Subpartsanswer"/>
        <w:keepNext/>
        <w:rPr>
          <w:rFonts w:ascii="Times New Roman" w:hAnsi="Times New Roman"/>
          <w:sz w:val="24"/>
        </w:rPr>
      </w:pPr>
    </w:p>
    <w:p w:rsidR="005119D8" w:rsidRDefault="005119D8" w:rsidP="00884DC7">
      <w:pPr>
        <w:pStyle w:val="mainanswerparagraph"/>
        <w:tabs>
          <w:tab w:val="clear" w:pos="720"/>
          <w:tab w:val="left" w:pos="1080"/>
        </w:tabs>
        <w:spacing w:line="240" w:lineRule="auto"/>
        <w:ind w:left="0" w:firstLine="0"/>
        <w:rPr>
          <w:rFonts w:ascii="Times New Roman" w:hAnsi="Times New Roman"/>
          <w:sz w:val="24"/>
          <w:szCs w:val="24"/>
        </w:rPr>
      </w:pPr>
      <w:proofErr w:type="gramStart"/>
      <w:r w:rsidRPr="00A705C4">
        <w:rPr>
          <w:rFonts w:ascii="Times New Roman" w:hAnsi="Times New Roman"/>
          <w:b/>
          <w:sz w:val="24"/>
          <w:szCs w:val="24"/>
        </w:rPr>
        <w:t>A Long Lost Relative?</w:t>
      </w:r>
      <w:proofErr w:type="gramEnd"/>
      <w:r w:rsidRPr="00A705C4">
        <w:rPr>
          <w:rFonts w:ascii="Times New Roman" w:hAnsi="Times New Roman"/>
          <w:b/>
          <w:sz w:val="24"/>
          <w:szCs w:val="24"/>
        </w:rPr>
        <w:t xml:space="preserve"> </w:t>
      </w:r>
      <w:r w:rsidRPr="00A705C4">
        <w:rPr>
          <w:rFonts w:ascii="Times New Roman" w:hAnsi="Times New Roman"/>
          <w:sz w:val="24"/>
          <w:szCs w:val="24"/>
        </w:rPr>
        <w:t>(</w:t>
      </w:r>
      <w:proofErr w:type="gramStart"/>
      <w:r w:rsidRPr="00A705C4">
        <w:rPr>
          <w:rFonts w:ascii="Times New Roman" w:hAnsi="Times New Roman"/>
          <w:sz w:val="24"/>
          <w:szCs w:val="24"/>
        </w:rPr>
        <w:t>p</w:t>
      </w:r>
      <w:r>
        <w:rPr>
          <w:rFonts w:ascii="Times New Roman" w:hAnsi="Times New Roman"/>
          <w:sz w:val="24"/>
          <w:szCs w:val="24"/>
        </w:rPr>
        <w:t>age</w:t>
      </w:r>
      <w:proofErr w:type="gramEnd"/>
      <w:r w:rsidRPr="00A705C4">
        <w:rPr>
          <w:rFonts w:ascii="Times New Roman" w:hAnsi="Times New Roman"/>
          <w:sz w:val="24"/>
          <w:szCs w:val="24"/>
        </w:rPr>
        <w:t xml:space="preserve"> 2-2</w:t>
      </w:r>
      <w:r>
        <w:rPr>
          <w:rFonts w:ascii="Times New Roman" w:hAnsi="Times New Roman"/>
          <w:sz w:val="24"/>
          <w:szCs w:val="24"/>
        </w:rPr>
        <w:t>4</w:t>
      </w:r>
      <w:r w:rsidRPr="00A705C4">
        <w:rPr>
          <w:rFonts w:ascii="Times New Roman" w:hAnsi="Times New Roman"/>
          <w:sz w:val="24"/>
          <w:szCs w:val="24"/>
        </w:rPr>
        <w:t xml:space="preserve">).  </w:t>
      </w:r>
      <w:r>
        <w:rPr>
          <w:rFonts w:ascii="Times New Roman" w:hAnsi="Times New Roman"/>
          <w:sz w:val="24"/>
          <w:szCs w:val="24"/>
        </w:rPr>
        <w:t>Brenda owns more than 50% of the stock of both Pelican Corporation and Seagull Corporation.  Thus, Pelican and Seagull are related corporations and members of a controlled group of corporations (brother-sister controlled group).  As a result, the two corporations are treated as if they were one corporation for purposes of the tax brackets below 35%, the $250,000 accumulated earnings credit, and the $40,000 AMT exemption amount.  The fact that the bookkeepers lacked tax knowledge means it is very likely that the prior years’ corporate returns failed to reflect the limitations applicable to related corporations.  If this is the case, then you should advise the client of the error and recommend amended tax returns to correct the error.  If the client refuses to amend any prior year’s return that is in error, then you must consider whether you can prepare a proper income tax return for 2012.  [See, e.g., AICPA’s Statements on Standards for Tax Services (Statement No. 6: Knowledge of Error) in Chapter 17 of the text.]</w:t>
      </w:r>
    </w:p>
    <w:p w:rsidR="005119D8" w:rsidRDefault="005119D8" w:rsidP="005119D8">
      <w:pPr>
        <w:pBdr>
          <w:bottom w:val="double" w:sz="6" w:space="1" w:color="auto"/>
        </w:pBdr>
        <w:tabs>
          <w:tab w:val="right" w:pos="9720"/>
        </w:tabs>
        <w:spacing w:line="240" w:lineRule="exact"/>
        <w:jc w:val="both"/>
      </w:pPr>
      <w:r>
        <w:tab/>
      </w:r>
    </w:p>
    <w:p w:rsidR="005119D8" w:rsidRDefault="005119D8" w:rsidP="005119D8">
      <w:pPr>
        <w:spacing w:line="240" w:lineRule="exact"/>
        <w:rPr>
          <w:b/>
        </w:rPr>
      </w:pPr>
    </w:p>
    <w:p w:rsidR="00775555" w:rsidRDefault="00775555" w:rsidP="002E04A8">
      <w:pPr>
        <w:spacing w:line="240" w:lineRule="exact"/>
      </w:pPr>
    </w:p>
    <w:p w:rsidR="00E05DC9" w:rsidRDefault="00E05DC9" w:rsidP="002E04A8">
      <w:pPr>
        <w:spacing w:line="240" w:lineRule="exact"/>
      </w:pPr>
    </w:p>
    <w:p w:rsidR="00E05DC9" w:rsidRDefault="00E05DC9" w:rsidP="002E04A8">
      <w:pPr>
        <w:spacing w:line="240" w:lineRule="exact"/>
      </w:pPr>
    </w:p>
    <w:p w:rsidR="00E05DC9" w:rsidRDefault="00E05DC9" w:rsidP="002E04A8">
      <w:pPr>
        <w:spacing w:line="240" w:lineRule="exact"/>
      </w:pPr>
    </w:p>
    <w:p w:rsidR="00E05DC9" w:rsidRDefault="00E05DC9" w:rsidP="002E04A8">
      <w:pPr>
        <w:spacing w:line="240" w:lineRule="exact"/>
      </w:pPr>
    </w:p>
    <w:p w:rsidR="00775555" w:rsidRPr="00890DAE" w:rsidRDefault="0074170F" w:rsidP="002E04A8">
      <w:pPr>
        <w:spacing w:line="240" w:lineRule="exact"/>
        <w:rPr>
          <w:b/>
        </w:rPr>
      </w:pPr>
      <w:r>
        <w:rPr>
          <w:b/>
        </w:rPr>
        <w:t xml:space="preserve">2.4 </w:t>
      </w:r>
      <w:r w:rsidR="00775555" w:rsidRPr="00890DAE">
        <w:rPr>
          <w:b/>
        </w:rPr>
        <w:t>PROCEDURAL MATTERS</w:t>
      </w:r>
    </w:p>
    <w:p w:rsidR="00775555" w:rsidRDefault="00775555" w:rsidP="002E04A8">
      <w:pPr>
        <w:spacing w:line="240" w:lineRule="exact"/>
        <w:ind w:left="720" w:hanging="720"/>
      </w:pPr>
    </w:p>
    <w:p w:rsidR="00775555" w:rsidRDefault="00A425E8" w:rsidP="002E04A8">
      <w:pPr>
        <w:pStyle w:val="mainanswerparagraph"/>
        <w:jc w:val="left"/>
        <w:rPr>
          <w:rFonts w:ascii="Times New Roman" w:hAnsi="Times New Roman"/>
          <w:b/>
          <w:sz w:val="24"/>
        </w:rPr>
      </w:pPr>
      <w:r>
        <w:rPr>
          <w:rFonts w:ascii="Times New Roman" w:hAnsi="Times New Roman"/>
          <w:b/>
          <w:sz w:val="24"/>
        </w:rPr>
        <w:t>Filing Requirements for Corporations</w:t>
      </w:r>
    </w:p>
    <w:p w:rsidR="00775555" w:rsidRDefault="00775555" w:rsidP="002E04A8">
      <w:pPr>
        <w:pStyle w:val="mainanswerparagraph"/>
        <w:jc w:val="left"/>
        <w:rPr>
          <w:rFonts w:ascii="Times New Roman" w:hAnsi="Times New Roman"/>
          <w:sz w:val="24"/>
        </w:rPr>
      </w:pPr>
    </w:p>
    <w:p w:rsidR="00775555" w:rsidRDefault="00913839" w:rsidP="002E04A8">
      <w:pPr>
        <w:pStyle w:val="mainanswerparagraph"/>
        <w:jc w:val="left"/>
        <w:rPr>
          <w:rFonts w:ascii="Times New Roman" w:hAnsi="Times New Roman"/>
          <w:sz w:val="24"/>
        </w:rPr>
      </w:pPr>
      <w:r>
        <w:rPr>
          <w:rFonts w:ascii="Times New Roman" w:hAnsi="Times New Roman"/>
          <w:sz w:val="24"/>
        </w:rPr>
        <w:t>2</w:t>
      </w:r>
      <w:r w:rsidR="00D11DE1">
        <w:rPr>
          <w:rFonts w:ascii="Times New Roman" w:hAnsi="Times New Roman"/>
          <w:sz w:val="24"/>
        </w:rPr>
        <w:t>5</w:t>
      </w:r>
      <w:r w:rsidR="00775555">
        <w:rPr>
          <w:rFonts w:ascii="Times New Roman" w:hAnsi="Times New Roman"/>
          <w:sz w:val="24"/>
        </w:rPr>
        <w:t>.</w:t>
      </w:r>
      <w:r w:rsidR="00775555">
        <w:rPr>
          <w:rFonts w:ascii="Times New Roman" w:hAnsi="Times New Roman"/>
          <w:sz w:val="24"/>
        </w:rPr>
        <w:tab/>
        <w:t xml:space="preserve">Corporations must file a tax return (Form 1120 </w:t>
      </w:r>
      <w:r w:rsidR="0079488C">
        <w:rPr>
          <w:rFonts w:ascii="Times New Roman" w:hAnsi="Times New Roman"/>
          <w:sz w:val="24"/>
        </w:rPr>
        <w:t xml:space="preserve">or </w:t>
      </w:r>
      <w:r w:rsidR="00775555">
        <w:rPr>
          <w:rFonts w:ascii="Times New Roman" w:hAnsi="Times New Roman"/>
          <w:sz w:val="24"/>
        </w:rPr>
        <w:t>Form 1120S) on or before the 15th day of the third month following the close of the tax year.</w:t>
      </w:r>
    </w:p>
    <w:p w:rsidR="00775555" w:rsidRDefault="00775555" w:rsidP="002E04A8">
      <w:pPr>
        <w:pStyle w:val="mainanswerparagraph"/>
        <w:jc w:val="left"/>
        <w:rPr>
          <w:rFonts w:ascii="Times New Roman" w:hAnsi="Times New Roman"/>
          <w:sz w:val="24"/>
        </w:rPr>
      </w:pPr>
    </w:p>
    <w:p w:rsidR="00775555" w:rsidRDefault="00775555" w:rsidP="002E04A8">
      <w:pPr>
        <w:pStyle w:val="Subpartsanswer"/>
        <w:tabs>
          <w:tab w:val="clear" w:pos="1296"/>
          <w:tab w:val="left" w:pos="1440"/>
        </w:tabs>
        <w:ind w:left="1440" w:hanging="720"/>
        <w:jc w:val="left"/>
        <w:rPr>
          <w:rFonts w:ascii="Times New Roman" w:hAnsi="Times New Roman"/>
          <w:sz w:val="24"/>
        </w:rPr>
      </w:pPr>
      <w:r>
        <w:rPr>
          <w:rFonts w:ascii="Times New Roman" w:hAnsi="Times New Roman"/>
          <w:sz w:val="24"/>
        </w:rPr>
        <w:t>a.</w:t>
      </w:r>
      <w:r>
        <w:rPr>
          <w:rFonts w:ascii="Times New Roman" w:hAnsi="Times New Roman"/>
          <w:sz w:val="24"/>
        </w:rPr>
        <w:tab/>
        <w:t xml:space="preserve">Form 1120 should be used if the corporation does not have an </w:t>
      </w:r>
      <w:r w:rsidR="0079488C">
        <w:rPr>
          <w:rFonts w:ascii="Times New Roman" w:hAnsi="Times New Roman"/>
          <w:sz w:val="24"/>
        </w:rPr>
        <w:t>S election in effect</w:t>
      </w:r>
      <w:r>
        <w:rPr>
          <w:rFonts w:ascii="Times New Roman" w:hAnsi="Times New Roman"/>
          <w:sz w:val="24"/>
        </w:rPr>
        <w:t>.</w:t>
      </w:r>
    </w:p>
    <w:p w:rsidR="00775555" w:rsidRDefault="00775555" w:rsidP="002E04A8">
      <w:pPr>
        <w:pStyle w:val="Subpartsanswer"/>
        <w:tabs>
          <w:tab w:val="clear" w:pos="1296"/>
          <w:tab w:val="left" w:pos="1440"/>
        </w:tabs>
        <w:ind w:left="1440" w:hanging="720"/>
        <w:jc w:val="left"/>
        <w:rPr>
          <w:rFonts w:ascii="Times New Roman" w:hAnsi="Times New Roman"/>
          <w:sz w:val="24"/>
        </w:rPr>
      </w:pPr>
    </w:p>
    <w:p w:rsidR="00C67822" w:rsidRDefault="0045682D" w:rsidP="002E04A8">
      <w:pPr>
        <w:tabs>
          <w:tab w:val="left" w:pos="720"/>
        </w:tabs>
        <w:spacing w:line="240" w:lineRule="exact"/>
        <w:ind w:left="1440" w:hanging="720"/>
      </w:pPr>
      <w:r>
        <w:t>b</w:t>
      </w:r>
      <w:r w:rsidR="00A66535">
        <w:t>.</w:t>
      </w:r>
      <w:r w:rsidR="00A66535">
        <w:tab/>
        <w:t>Corporations receive an automatic extension of 6 months by filing Form 7004 by the due date of the return.</w:t>
      </w:r>
    </w:p>
    <w:p w:rsidR="00122B5E" w:rsidRDefault="00122B5E" w:rsidP="002E04A8">
      <w:pPr>
        <w:tabs>
          <w:tab w:val="left" w:pos="720"/>
        </w:tabs>
        <w:spacing w:line="240" w:lineRule="exact"/>
        <w:ind w:left="1440" w:hanging="720"/>
      </w:pPr>
    </w:p>
    <w:p w:rsidR="00614BE9" w:rsidRDefault="00614BE9" w:rsidP="002E04A8">
      <w:pPr>
        <w:tabs>
          <w:tab w:val="left" w:pos="720"/>
        </w:tabs>
        <w:spacing w:line="240" w:lineRule="exact"/>
        <w:ind w:left="1440" w:hanging="720"/>
      </w:pPr>
    </w:p>
    <w:p w:rsidR="00C67822" w:rsidRPr="00C67822" w:rsidRDefault="00C67822" w:rsidP="002E04A8">
      <w:pPr>
        <w:spacing w:line="240" w:lineRule="exact"/>
        <w:ind w:left="720" w:hanging="720"/>
        <w:rPr>
          <w:b/>
        </w:rPr>
      </w:pPr>
      <w:r w:rsidRPr="00C67822">
        <w:rPr>
          <w:b/>
        </w:rPr>
        <w:t>Estimated Tax Payments</w:t>
      </w:r>
    </w:p>
    <w:p w:rsidR="00C67822" w:rsidRDefault="00C67822" w:rsidP="002E04A8">
      <w:pPr>
        <w:spacing w:line="240" w:lineRule="exact"/>
        <w:ind w:left="720" w:hanging="720"/>
      </w:pPr>
    </w:p>
    <w:p w:rsidR="00775555" w:rsidRDefault="00913839" w:rsidP="002E04A8">
      <w:pPr>
        <w:pStyle w:val="mainanswerparagraph"/>
        <w:jc w:val="left"/>
        <w:rPr>
          <w:rFonts w:ascii="Times New Roman" w:hAnsi="Times New Roman"/>
          <w:sz w:val="24"/>
        </w:rPr>
      </w:pPr>
      <w:r>
        <w:rPr>
          <w:rFonts w:ascii="Times New Roman" w:hAnsi="Times New Roman"/>
          <w:sz w:val="24"/>
        </w:rPr>
        <w:t>2</w:t>
      </w:r>
      <w:r w:rsidR="00D11DE1">
        <w:rPr>
          <w:rFonts w:ascii="Times New Roman" w:hAnsi="Times New Roman"/>
          <w:sz w:val="24"/>
        </w:rPr>
        <w:t>6</w:t>
      </w:r>
      <w:r w:rsidR="00775555">
        <w:rPr>
          <w:rFonts w:ascii="Times New Roman" w:hAnsi="Times New Roman"/>
          <w:sz w:val="24"/>
        </w:rPr>
        <w:t>.</w:t>
      </w:r>
      <w:r w:rsidR="00775555">
        <w:rPr>
          <w:rFonts w:ascii="Times New Roman" w:hAnsi="Times New Roman"/>
          <w:sz w:val="24"/>
        </w:rPr>
        <w:tab/>
      </w:r>
      <w:r w:rsidR="0082264B" w:rsidRPr="00F574AC">
        <w:rPr>
          <w:rFonts w:ascii="Times New Roman" w:hAnsi="Times New Roman"/>
          <w:spacing w:val="-4"/>
          <w:sz w:val="24"/>
        </w:rPr>
        <w:t>C</w:t>
      </w:r>
      <w:r w:rsidR="00775555" w:rsidRPr="00F574AC">
        <w:rPr>
          <w:rFonts w:ascii="Times New Roman" w:hAnsi="Times New Roman"/>
          <w:spacing w:val="-4"/>
          <w:sz w:val="24"/>
        </w:rPr>
        <w:t>orporation</w:t>
      </w:r>
      <w:r w:rsidR="0082264B" w:rsidRPr="00F574AC">
        <w:rPr>
          <w:rFonts w:ascii="Times New Roman" w:hAnsi="Times New Roman"/>
          <w:spacing w:val="-4"/>
          <w:sz w:val="24"/>
        </w:rPr>
        <w:t>s</w:t>
      </w:r>
      <w:r w:rsidR="00775555" w:rsidRPr="00F574AC">
        <w:rPr>
          <w:rFonts w:ascii="Times New Roman" w:hAnsi="Times New Roman"/>
          <w:spacing w:val="-4"/>
          <w:sz w:val="24"/>
        </w:rPr>
        <w:t xml:space="preserve"> must make </w:t>
      </w:r>
      <w:r w:rsidR="0082264B" w:rsidRPr="00F574AC">
        <w:rPr>
          <w:rFonts w:ascii="Times New Roman" w:hAnsi="Times New Roman"/>
          <w:spacing w:val="-4"/>
          <w:sz w:val="24"/>
        </w:rPr>
        <w:t xml:space="preserve">estimated tax liability </w:t>
      </w:r>
      <w:r w:rsidR="00775555" w:rsidRPr="00F574AC">
        <w:rPr>
          <w:rFonts w:ascii="Times New Roman" w:hAnsi="Times New Roman"/>
          <w:spacing w:val="-4"/>
          <w:sz w:val="24"/>
        </w:rPr>
        <w:t>payments unless the liability is less than $500.</w:t>
      </w:r>
    </w:p>
    <w:p w:rsidR="00775555" w:rsidRDefault="00775555" w:rsidP="002E04A8">
      <w:pPr>
        <w:pStyle w:val="Subpartsanswer"/>
        <w:jc w:val="left"/>
        <w:rPr>
          <w:rFonts w:ascii="Times New Roman" w:hAnsi="Times New Roman"/>
          <w:sz w:val="24"/>
        </w:rPr>
      </w:pPr>
    </w:p>
    <w:p w:rsidR="00641AC2" w:rsidRDefault="00F574AC" w:rsidP="002E04A8">
      <w:pPr>
        <w:tabs>
          <w:tab w:val="left" w:pos="0"/>
        </w:tabs>
        <w:spacing w:line="240" w:lineRule="exact"/>
        <w:ind w:left="1440" w:hanging="720"/>
      </w:pPr>
      <w:r>
        <w:t>a.</w:t>
      </w:r>
      <w:r>
        <w:tab/>
      </w:r>
      <w:r w:rsidR="00641AC2">
        <w:t>R</w:t>
      </w:r>
      <w:r>
        <w:t xml:space="preserve">equired annual payment (including any AMT liability) is equal to the lesser of </w:t>
      </w:r>
    </w:p>
    <w:p w:rsidR="00641AC2" w:rsidRDefault="00641AC2" w:rsidP="002E04A8">
      <w:pPr>
        <w:tabs>
          <w:tab w:val="left" w:pos="0"/>
        </w:tabs>
        <w:spacing w:line="240" w:lineRule="exact"/>
        <w:ind w:left="1440" w:hanging="720"/>
      </w:pPr>
    </w:p>
    <w:p w:rsidR="00641AC2" w:rsidRDefault="00641AC2" w:rsidP="002E04A8">
      <w:pPr>
        <w:tabs>
          <w:tab w:val="left" w:pos="0"/>
        </w:tabs>
        <w:spacing w:line="240" w:lineRule="exact"/>
        <w:ind w:left="1440" w:hanging="720"/>
      </w:pPr>
      <w:r>
        <w:tab/>
      </w:r>
      <w:r w:rsidR="00F574AC">
        <w:t>(</w:t>
      </w:r>
      <w:r>
        <w:t>1)</w:t>
      </w:r>
      <w:r w:rsidR="00F574AC">
        <w:t xml:space="preserve"> </w:t>
      </w:r>
      <w:r>
        <w:tab/>
      </w:r>
      <w:r w:rsidR="00F574AC">
        <w:t>10</w:t>
      </w:r>
      <w:r>
        <w:t>0% of the current year’s tax.</w:t>
      </w:r>
    </w:p>
    <w:p w:rsidR="00641AC2" w:rsidRDefault="00641AC2" w:rsidP="002E04A8">
      <w:pPr>
        <w:tabs>
          <w:tab w:val="left" w:pos="0"/>
        </w:tabs>
        <w:spacing w:line="240" w:lineRule="exact"/>
        <w:ind w:left="1440" w:hanging="720"/>
      </w:pPr>
    </w:p>
    <w:p w:rsidR="00641AC2" w:rsidRDefault="00641AC2" w:rsidP="002E04A8">
      <w:pPr>
        <w:tabs>
          <w:tab w:val="left" w:pos="0"/>
        </w:tabs>
        <w:spacing w:line="240" w:lineRule="exact"/>
        <w:ind w:left="1440" w:hanging="720"/>
      </w:pPr>
      <w:r>
        <w:tab/>
      </w:r>
      <w:r w:rsidR="00F574AC">
        <w:t>(</w:t>
      </w:r>
      <w:r>
        <w:t>2</w:t>
      </w:r>
      <w:r w:rsidR="00F574AC">
        <w:t xml:space="preserve">) </w:t>
      </w:r>
      <w:r>
        <w:tab/>
      </w:r>
      <w:r w:rsidR="00F574AC">
        <w:t xml:space="preserve">100% of the prior </w:t>
      </w:r>
      <w:proofErr w:type="gramStart"/>
      <w:r w:rsidR="00F574AC">
        <w:t>year’s</w:t>
      </w:r>
      <w:proofErr w:type="gramEnd"/>
      <w:r w:rsidR="00F574AC">
        <w:t xml:space="preserve"> tax</w:t>
      </w:r>
      <w:r w:rsidR="00833A06">
        <w:t xml:space="preserve"> (prior year exception)</w:t>
      </w:r>
      <w:r w:rsidR="00F574AC">
        <w:t xml:space="preserve">. </w:t>
      </w:r>
    </w:p>
    <w:p w:rsidR="00641AC2" w:rsidRDefault="00641AC2" w:rsidP="002E04A8">
      <w:pPr>
        <w:tabs>
          <w:tab w:val="left" w:pos="0"/>
        </w:tabs>
        <w:spacing w:line="240" w:lineRule="exact"/>
        <w:ind w:left="1440" w:hanging="720"/>
      </w:pPr>
    </w:p>
    <w:p w:rsidR="00F574AC" w:rsidRPr="006A6BD9" w:rsidRDefault="00641AC2" w:rsidP="002E04A8">
      <w:pPr>
        <w:tabs>
          <w:tab w:val="left" w:pos="0"/>
        </w:tabs>
        <w:spacing w:line="240" w:lineRule="exact"/>
        <w:ind w:left="1440" w:hanging="720"/>
        <w:rPr>
          <w:spacing w:val="-2"/>
        </w:rPr>
      </w:pPr>
      <w:r>
        <w:t>b.</w:t>
      </w:r>
      <w:r>
        <w:tab/>
      </w:r>
      <w:r w:rsidRPr="006A6BD9">
        <w:rPr>
          <w:spacing w:val="-2"/>
        </w:rPr>
        <w:t>C</w:t>
      </w:r>
      <w:r w:rsidR="00F574AC" w:rsidRPr="006A6BD9">
        <w:rPr>
          <w:spacing w:val="-2"/>
        </w:rPr>
        <w:t>orporation</w:t>
      </w:r>
      <w:r w:rsidR="00833A06" w:rsidRPr="006A6BD9">
        <w:rPr>
          <w:spacing w:val="-2"/>
        </w:rPr>
        <w:t>s</w:t>
      </w:r>
      <w:r w:rsidR="00F574AC" w:rsidRPr="006A6BD9">
        <w:rPr>
          <w:spacing w:val="-2"/>
        </w:rPr>
        <w:t xml:space="preserve"> having taxable income of </w:t>
      </w:r>
      <w:r w:rsidR="00BE3B9D" w:rsidRPr="006A6BD9">
        <w:rPr>
          <w:spacing w:val="-2"/>
        </w:rPr>
        <w:t xml:space="preserve">at least </w:t>
      </w:r>
      <w:r w:rsidR="00F574AC" w:rsidRPr="006A6BD9">
        <w:rPr>
          <w:spacing w:val="-2"/>
        </w:rPr>
        <w:t>$1 million</w:t>
      </w:r>
      <w:r w:rsidR="00BE3B9D" w:rsidRPr="006A6BD9">
        <w:rPr>
          <w:spacing w:val="-2"/>
        </w:rPr>
        <w:t xml:space="preserve"> </w:t>
      </w:r>
      <w:r w:rsidR="00F574AC" w:rsidRPr="006A6BD9">
        <w:rPr>
          <w:spacing w:val="-2"/>
        </w:rPr>
        <w:t>in any of the prior three years (a “large” corporation) can use the prior year</w:t>
      </w:r>
      <w:r w:rsidR="00833A06" w:rsidRPr="006A6BD9">
        <w:rPr>
          <w:spacing w:val="-2"/>
        </w:rPr>
        <w:t xml:space="preserve"> </w:t>
      </w:r>
      <w:r w:rsidR="00F574AC" w:rsidRPr="006A6BD9">
        <w:rPr>
          <w:spacing w:val="-2"/>
        </w:rPr>
        <w:t xml:space="preserve">exception </w:t>
      </w:r>
      <w:r w:rsidR="00833A06" w:rsidRPr="006A6BD9">
        <w:rPr>
          <w:spacing w:val="-2"/>
        </w:rPr>
        <w:t xml:space="preserve">only </w:t>
      </w:r>
      <w:r w:rsidR="00F574AC" w:rsidRPr="006A6BD9">
        <w:rPr>
          <w:spacing w:val="-2"/>
        </w:rPr>
        <w:t>for its first installment payment</w:t>
      </w:r>
      <w:r w:rsidR="00833A06" w:rsidRPr="006A6BD9">
        <w:rPr>
          <w:spacing w:val="-2"/>
        </w:rPr>
        <w:t>. A</w:t>
      </w:r>
      <w:r w:rsidR="00F574AC" w:rsidRPr="006A6BD9">
        <w:rPr>
          <w:spacing w:val="-2"/>
        </w:rPr>
        <w:t xml:space="preserve">ny shortfall </w:t>
      </w:r>
      <w:r w:rsidR="00B467DE" w:rsidRPr="006A6BD9">
        <w:rPr>
          <w:spacing w:val="-2"/>
        </w:rPr>
        <w:t xml:space="preserve">of this </w:t>
      </w:r>
      <w:r w:rsidR="00F574AC" w:rsidRPr="006A6BD9">
        <w:rPr>
          <w:spacing w:val="-2"/>
        </w:rPr>
        <w:t xml:space="preserve">payment </w:t>
      </w:r>
      <w:r w:rsidR="00B467DE" w:rsidRPr="006A6BD9">
        <w:rPr>
          <w:spacing w:val="-2"/>
        </w:rPr>
        <w:t xml:space="preserve">must be </w:t>
      </w:r>
      <w:r w:rsidR="00F574AC" w:rsidRPr="006A6BD9">
        <w:rPr>
          <w:spacing w:val="-2"/>
        </w:rPr>
        <w:t xml:space="preserve">remedied </w:t>
      </w:r>
      <w:r w:rsidR="00B467DE" w:rsidRPr="006A6BD9">
        <w:rPr>
          <w:spacing w:val="-2"/>
        </w:rPr>
        <w:t xml:space="preserve">in the </w:t>
      </w:r>
      <w:r w:rsidR="00F574AC" w:rsidRPr="006A6BD9">
        <w:rPr>
          <w:spacing w:val="-2"/>
        </w:rPr>
        <w:t>second installment payment.</w:t>
      </w:r>
    </w:p>
    <w:p w:rsidR="005B57BE" w:rsidRDefault="005B57BE" w:rsidP="002E04A8">
      <w:pPr>
        <w:tabs>
          <w:tab w:val="left" w:pos="0"/>
        </w:tabs>
        <w:spacing w:line="240" w:lineRule="exact"/>
        <w:ind w:left="1440" w:hanging="720"/>
      </w:pPr>
    </w:p>
    <w:p w:rsidR="00F574AC" w:rsidRPr="00AA5E88" w:rsidRDefault="00F574AC" w:rsidP="002E04A8">
      <w:pPr>
        <w:tabs>
          <w:tab w:val="left" w:pos="0"/>
        </w:tabs>
        <w:spacing w:line="240" w:lineRule="exact"/>
        <w:ind w:left="1440" w:hanging="720"/>
      </w:pPr>
      <w:r>
        <w:tab/>
      </w:r>
      <w:proofErr w:type="gramStart"/>
      <w:r w:rsidRPr="00AA5E88">
        <w:t>Example</w:t>
      </w:r>
      <w:r w:rsidR="005B57BE" w:rsidRPr="00AA5E88">
        <w:t>.</w:t>
      </w:r>
      <w:proofErr w:type="gramEnd"/>
      <w:r w:rsidR="005B57BE" w:rsidRPr="00AA5E88">
        <w:t xml:space="preserve"> </w:t>
      </w:r>
      <w:r w:rsidR="005119D8">
        <w:t>Blue Corporation</w:t>
      </w:r>
      <w:r w:rsidR="002B3820" w:rsidRPr="00AA5E88">
        <w:t xml:space="preserve"> </w:t>
      </w:r>
      <w:r w:rsidRPr="00AA5E88">
        <w:t xml:space="preserve">has a </w:t>
      </w:r>
      <w:r w:rsidR="00252FAB" w:rsidRPr="00AA5E88">
        <w:t xml:space="preserve">$1 million tax liability for the </w:t>
      </w:r>
      <w:r w:rsidRPr="00AA5E88">
        <w:t xml:space="preserve">current year and </w:t>
      </w:r>
      <w:r w:rsidR="00252FAB" w:rsidRPr="00AA5E88">
        <w:t>a</w:t>
      </w:r>
      <w:r w:rsidR="00071EF2" w:rsidRPr="00AA5E88">
        <w:t>n</w:t>
      </w:r>
      <w:r w:rsidR="00252FAB" w:rsidRPr="00AA5E88">
        <w:t xml:space="preserve"> $800,000 </w:t>
      </w:r>
      <w:r w:rsidRPr="00AA5E88">
        <w:t xml:space="preserve">tax liability </w:t>
      </w:r>
      <w:r w:rsidR="00252FAB" w:rsidRPr="00AA5E88">
        <w:t>last year</w:t>
      </w:r>
      <w:r w:rsidRPr="00AA5E88">
        <w:t>. Using the prior year</w:t>
      </w:r>
      <w:r w:rsidR="006A6BD9" w:rsidRPr="00AA5E88">
        <w:t xml:space="preserve"> </w:t>
      </w:r>
      <w:r w:rsidRPr="00AA5E88">
        <w:t xml:space="preserve">exception, </w:t>
      </w:r>
      <w:r w:rsidR="005119D8">
        <w:t>Blue Corporation’s</w:t>
      </w:r>
      <w:r w:rsidR="00071EF2" w:rsidRPr="00AA5E88">
        <w:t xml:space="preserve"> </w:t>
      </w:r>
      <w:r w:rsidRPr="00AA5E88">
        <w:t xml:space="preserve">first installment payment is $200,000 ($800,000 ÷ 4). </w:t>
      </w:r>
      <w:r w:rsidR="006A6BD9" w:rsidRPr="00AA5E88">
        <w:t>S</w:t>
      </w:r>
      <w:r w:rsidRPr="00AA5E88">
        <w:t>econd insta</w:t>
      </w:r>
      <w:r w:rsidR="007B2FDC" w:rsidRPr="00AA5E88">
        <w:t>llment payment is $300,000 [</w:t>
      </w:r>
      <w:r w:rsidRPr="00AA5E88">
        <w:t xml:space="preserve">($1 million tax ÷ 4) + ($250,000 required quarterly payment using </w:t>
      </w:r>
      <w:r w:rsidR="00AB1645" w:rsidRPr="00AA5E88">
        <w:t xml:space="preserve">the </w:t>
      </w:r>
      <w:r w:rsidRPr="00AA5E88">
        <w:t>current year tax – $200,000 paid as first installment)]. Third and fourth installment payments are $250,000 each</w:t>
      </w:r>
      <w:r w:rsidR="00AA5E88">
        <w:t xml:space="preserve"> (See Example 34).</w:t>
      </w:r>
    </w:p>
    <w:p w:rsidR="00F574AC" w:rsidRPr="00AA5E88" w:rsidRDefault="00F574AC" w:rsidP="002E04A8">
      <w:pPr>
        <w:pStyle w:val="Subpartsanswer"/>
        <w:tabs>
          <w:tab w:val="clear" w:pos="1296"/>
          <w:tab w:val="left" w:pos="1440"/>
        </w:tabs>
        <w:ind w:left="1440" w:hanging="720"/>
        <w:jc w:val="left"/>
        <w:rPr>
          <w:rFonts w:ascii="Times New Roman" w:hAnsi="Times New Roman"/>
          <w:sz w:val="24"/>
        </w:rPr>
      </w:pPr>
    </w:p>
    <w:p w:rsidR="00775555" w:rsidRDefault="007B2FDC" w:rsidP="002E04A8">
      <w:pPr>
        <w:pStyle w:val="Subpartsanswer"/>
        <w:tabs>
          <w:tab w:val="clear" w:pos="1296"/>
          <w:tab w:val="left" w:pos="1440"/>
        </w:tabs>
        <w:ind w:left="1440" w:hanging="720"/>
        <w:jc w:val="left"/>
        <w:rPr>
          <w:rFonts w:ascii="Times New Roman" w:hAnsi="Times New Roman"/>
          <w:sz w:val="24"/>
        </w:rPr>
      </w:pPr>
      <w:proofErr w:type="gramStart"/>
      <w:r>
        <w:rPr>
          <w:rFonts w:ascii="Times New Roman" w:hAnsi="Times New Roman"/>
          <w:sz w:val="24"/>
        </w:rPr>
        <w:t>c</w:t>
      </w:r>
      <w:r w:rsidR="00775555">
        <w:rPr>
          <w:rFonts w:ascii="Times New Roman" w:hAnsi="Times New Roman"/>
          <w:sz w:val="24"/>
        </w:rPr>
        <w:t>.</w:t>
      </w:r>
      <w:r w:rsidR="00775555">
        <w:rPr>
          <w:rFonts w:ascii="Times New Roman" w:hAnsi="Times New Roman"/>
          <w:sz w:val="24"/>
        </w:rPr>
        <w:tab/>
      </w:r>
      <w:r>
        <w:rPr>
          <w:rFonts w:ascii="Times New Roman" w:hAnsi="Times New Roman"/>
          <w:sz w:val="24"/>
        </w:rPr>
        <w:t>Calendar year corporation</w:t>
      </w:r>
      <w:proofErr w:type="gramEnd"/>
      <w:r>
        <w:rPr>
          <w:rFonts w:ascii="Times New Roman" w:hAnsi="Times New Roman"/>
          <w:sz w:val="24"/>
        </w:rPr>
        <w:t>’s estimated p</w:t>
      </w:r>
      <w:r w:rsidR="00775555">
        <w:rPr>
          <w:rFonts w:ascii="Times New Roman" w:hAnsi="Times New Roman"/>
          <w:sz w:val="24"/>
        </w:rPr>
        <w:t>ayments are due April 15, June 15, September 15, and December 15.</w:t>
      </w:r>
    </w:p>
    <w:p w:rsidR="00B467DE" w:rsidRDefault="00B467DE" w:rsidP="002E04A8">
      <w:pPr>
        <w:pStyle w:val="Subpartsanswer"/>
        <w:tabs>
          <w:tab w:val="clear" w:pos="1296"/>
          <w:tab w:val="left" w:pos="1440"/>
        </w:tabs>
        <w:ind w:left="1440" w:hanging="720"/>
        <w:jc w:val="left"/>
        <w:rPr>
          <w:rFonts w:ascii="Times New Roman" w:hAnsi="Times New Roman"/>
          <w:sz w:val="24"/>
        </w:rPr>
      </w:pPr>
    </w:p>
    <w:p w:rsidR="00775555" w:rsidRDefault="00D433E8" w:rsidP="002E04A8">
      <w:pPr>
        <w:pStyle w:val="Subpartsanswer"/>
        <w:tabs>
          <w:tab w:val="clear" w:pos="1296"/>
          <w:tab w:val="left" w:pos="1440"/>
        </w:tabs>
        <w:ind w:left="1440" w:hanging="720"/>
        <w:jc w:val="left"/>
        <w:rPr>
          <w:rFonts w:ascii="Times New Roman" w:hAnsi="Times New Roman"/>
          <w:sz w:val="24"/>
        </w:rPr>
      </w:pPr>
      <w:r>
        <w:rPr>
          <w:rFonts w:ascii="Times New Roman" w:hAnsi="Times New Roman"/>
          <w:sz w:val="24"/>
        </w:rPr>
        <w:t>d</w:t>
      </w:r>
      <w:r w:rsidR="00775555">
        <w:rPr>
          <w:rFonts w:ascii="Times New Roman" w:hAnsi="Times New Roman"/>
          <w:sz w:val="24"/>
        </w:rPr>
        <w:t>.</w:t>
      </w:r>
      <w:r w:rsidR="00775555">
        <w:rPr>
          <w:rFonts w:ascii="Times New Roman" w:hAnsi="Times New Roman"/>
          <w:sz w:val="24"/>
        </w:rPr>
        <w:tab/>
        <w:t>Penalties apply to underpayments.</w:t>
      </w:r>
    </w:p>
    <w:p w:rsidR="00775555" w:rsidRDefault="00775555" w:rsidP="002E04A8">
      <w:pPr>
        <w:pStyle w:val="flushleftpara-noindents"/>
        <w:spacing w:line="240" w:lineRule="exact"/>
        <w:rPr>
          <w:rFonts w:ascii="Times New Roman" w:hAnsi="Times New Roman"/>
          <w:b/>
          <w:sz w:val="24"/>
        </w:rPr>
      </w:pPr>
    </w:p>
    <w:p w:rsidR="00775555" w:rsidRDefault="00A41042" w:rsidP="002E04A8">
      <w:pPr>
        <w:pStyle w:val="flushleftpara-noindents"/>
        <w:spacing w:line="240" w:lineRule="exact"/>
        <w:rPr>
          <w:rFonts w:ascii="Times New Roman" w:hAnsi="Times New Roman"/>
          <w:b/>
          <w:sz w:val="24"/>
        </w:rPr>
      </w:pPr>
      <w:r>
        <w:rPr>
          <w:rFonts w:ascii="Times New Roman" w:hAnsi="Times New Roman"/>
          <w:b/>
          <w:sz w:val="24"/>
        </w:rPr>
        <w:t>Schedule M-1–Reconciliation of Taxable Income and Financial Net Income</w:t>
      </w:r>
    </w:p>
    <w:p w:rsidR="00775555" w:rsidRDefault="00775555" w:rsidP="002E04A8">
      <w:pPr>
        <w:pStyle w:val="BP"/>
        <w:rPr>
          <w:rFonts w:ascii="Times New Roman" w:hAnsi="Times New Roman"/>
          <w:sz w:val="24"/>
        </w:rPr>
      </w:pPr>
    </w:p>
    <w:p w:rsidR="00671C23" w:rsidRDefault="00913839" w:rsidP="002E04A8">
      <w:pPr>
        <w:pStyle w:val="mainanswerparagraph"/>
        <w:spacing w:after="240"/>
        <w:jc w:val="left"/>
        <w:rPr>
          <w:rFonts w:ascii="Times New Roman" w:hAnsi="Times New Roman"/>
          <w:sz w:val="24"/>
        </w:rPr>
      </w:pPr>
      <w:r>
        <w:rPr>
          <w:rFonts w:ascii="Times New Roman" w:hAnsi="Times New Roman"/>
          <w:sz w:val="24"/>
        </w:rPr>
        <w:t>2</w:t>
      </w:r>
      <w:r w:rsidR="00D11DE1">
        <w:rPr>
          <w:rFonts w:ascii="Times New Roman" w:hAnsi="Times New Roman"/>
          <w:sz w:val="24"/>
        </w:rPr>
        <w:t>7</w:t>
      </w:r>
      <w:r w:rsidR="00775555">
        <w:rPr>
          <w:rFonts w:ascii="Times New Roman" w:hAnsi="Times New Roman"/>
          <w:sz w:val="24"/>
        </w:rPr>
        <w:t>.</w:t>
      </w:r>
      <w:r w:rsidR="00775555">
        <w:rPr>
          <w:rFonts w:ascii="Times New Roman" w:hAnsi="Times New Roman"/>
          <w:sz w:val="24"/>
        </w:rPr>
        <w:tab/>
      </w:r>
      <w:r w:rsidR="00671C23">
        <w:rPr>
          <w:rFonts w:ascii="Times New Roman" w:hAnsi="Times New Roman"/>
          <w:sz w:val="24"/>
        </w:rPr>
        <w:t xml:space="preserve">Schedule M-1. </w:t>
      </w:r>
      <w:proofErr w:type="gramStart"/>
      <w:r w:rsidR="00671C23">
        <w:rPr>
          <w:rFonts w:ascii="Times New Roman" w:hAnsi="Times New Roman"/>
          <w:sz w:val="24"/>
        </w:rPr>
        <w:t xml:space="preserve">Reconciles </w:t>
      </w:r>
      <w:r w:rsidR="00395334">
        <w:rPr>
          <w:rFonts w:ascii="Times New Roman" w:hAnsi="Times New Roman"/>
          <w:sz w:val="24"/>
        </w:rPr>
        <w:t xml:space="preserve">the </w:t>
      </w:r>
      <w:r w:rsidR="00671C23">
        <w:rPr>
          <w:rFonts w:ascii="Times New Roman" w:hAnsi="Times New Roman"/>
          <w:sz w:val="24"/>
        </w:rPr>
        <w:t>net income per financial accounting books with taxable income per the tax return.</w:t>
      </w:r>
      <w:proofErr w:type="gramEnd"/>
      <w:r w:rsidR="00671C23">
        <w:rPr>
          <w:rFonts w:ascii="Times New Roman" w:hAnsi="Times New Roman"/>
          <w:sz w:val="24"/>
        </w:rPr>
        <w:t xml:space="preserve"> That is, Schedule M-1 computes the book to tax differences for the year.</w:t>
      </w:r>
    </w:p>
    <w:p w:rsidR="00671C23" w:rsidRDefault="00671C23" w:rsidP="002E04A8">
      <w:pPr>
        <w:pStyle w:val="mainanswerparagraph"/>
        <w:spacing w:after="240"/>
        <w:ind w:left="1440" w:hanging="1440"/>
        <w:jc w:val="left"/>
        <w:rPr>
          <w:rFonts w:ascii="Times New Roman" w:hAnsi="Times New Roman"/>
          <w:sz w:val="24"/>
        </w:rPr>
      </w:pPr>
      <w:r>
        <w:rPr>
          <w:rFonts w:ascii="Times New Roman" w:hAnsi="Times New Roman"/>
          <w:sz w:val="24"/>
        </w:rPr>
        <w:tab/>
      </w:r>
      <w:proofErr w:type="gramStart"/>
      <w:r>
        <w:rPr>
          <w:rFonts w:ascii="Times New Roman" w:hAnsi="Times New Roman"/>
          <w:sz w:val="24"/>
        </w:rPr>
        <w:t>a</w:t>
      </w:r>
      <w:proofErr w:type="gramEnd"/>
      <w:r>
        <w:rPr>
          <w:rFonts w:ascii="Times New Roman" w:hAnsi="Times New Roman"/>
          <w:sz w:val="24"/>
        </w:rPr>
        <w:t>.</w:t>
      </w:r>
      <w:r>
        <w:rPr>
          <w:rFonts w:ascii="Times New Roman" w:hAnsi="Times New Roman"/>
          <w:sz w:val="24"/>
        </w:rPr>
        <w:tab/>
        <w:t xml:space="preserve">Schedule M-1 is required for </w:t>
      </w:r>
      <w:r w:rsidRPr="00671C23">
        <w:rPr>
          <w:rFonts w:ascii="Times New Roman" w:hAnsi="Times New Roman"/>
          <w:sz w:val="24"/>
        </w:rPr>
        <w:t>corporation</w:t>
      </w:r>
      <w:r>
        <w:rPr>
          <w:rFonts w:ascii="Times New Roman" w:hAnsi="Times New Roman"/>
          <w:sz w:val="24"/>
        </w:rPr>
        <w:t>s with total assets less than $10 million.</w:t>
      </w:r>
    </w:p>
    <w:p w:rsidR="00671C23" w:rsidRDefault="00671C23" w:rsidP="002E04A8">
      <w:pPr>
        <w:pStyle w:val="mainanswerparagraph"/>
        <w:spacing w:after="240"/>
        <w:ind w:left="1440" w:hanging="1440"/>
        <w:jc w:val="left"/>
        <w:rPr>
          <w:rFonts w:ascii="Times New Roman" w:hAnsi="Times New Roman"/>
          <w:sz w:val="24"/>
        </w:rPr>
      </w:pPr>
      <w:r>
        <w:rPr>
          <w:rFonts w:ascii="Times New Roman" w:hAnsi="Times New Roman"/>
          <w:sz w:val="24"/>
        </w:rPr>
        <w:lastRenderedPageBreak/>
        <w:tab/>
        <w:t>b.</w:t>
      </w:r>
      <w:r>
        <w:rPr>
          <w:rFonts w:ascii="Times New Roman" w:hAnsi="Times New Roman"/>
          <w:sz w:val="24"/>
        </w:rPr>
        <w:tab/>
        <w:t>Taxable income reconciled to net income per books is taxable income before the dividends received deduction and the NOL deduction.</w:t>
      </w:r>
    </w:p>
    <w:p w:rsidR="00775555" w:rsidRPr="00671C23" w:rsidRDefault="00671C23" w:rsidP="002E04A8">
      <w:pPr>
        <w:pStyle w:val="mainanswerparagraph"/>
        <w:spacing w:after="240"/>
        <w:jc w:val="left"/>
        <w:rPr>
          <w:rFonts w:ascii="Times New Roman" w:hAnsi="Times New Roman"/>
          <w:sz w:val="24"/>
        </w:rPr>
      </w:pPr>
      <w:r>
        <w:rPr>
          <w:rFonts w:ascii="Times New Roman" w:hAnsi="Times New Roman"/>
          <w:sz w:val="24"/>
        </w:rPr>
        <w:t>2</w:t>
      </w:r>
      <w:r w:rsidR="00D11DE1">
        <w:rPr>
          <w:rFonts w:ascii="Times New Roman" w:hAnsi="Times New Roman"/>
          <w:sz w:val="24"/>
        </w:rPr>
        <w:t>8</w:t>
      </w:r>
      <w:r>
        <w:rPr>
          <w:rFonts w:ascii="Times New Roman" w:hAnsi="Times New Roman"/>
          <w:sz w:val="24"/>
        </w:rPr>
        <w:t>.</w:t>
      </w:r>
      <w:r>
        <w:rPr>
          <w:rFonts w:ascii="Times New Roman" w:hAnsi="Times New Roman"/>
          <w:sz w:val="24"/>
        </w:rPr>
        <w:tab/>
        <w:t>Schedule M-2</w:t>
      </w:r>
      <w:r w:rsidR="00800BF9">
        <w:rPr>
          <w:rFonts w:ascii="Times New Roman" w:hAnsi="Times New Roman"/>
          <w:sz w:val="24"/>
        </w:rPr>
        <w:t xml:space="preserve"> r</w:t>
      </w:r>
      <w:r>
        <w:rPr>
          <w:rFonts w:ascii="Times New Roman" w:hAnsi="Times New Roman"/>
          <w:sz w:val="24"/>
        </w:rPr>
        <w:t>econciles unappropriated retained earnings for the year.</w:t>
      </w:r>
      <w:r w:rsidR="00F35409">
        <w:rPr>
          <w:rFonts w:ascii="Times New Roman" w:hAnsi="Times New Roman"/>
          <w:sz w:val="24"/>
        </w:rPr>
        <w:t xml:space="preserve"> </w:t>
      </w:r>
      <w:r>
        <w:rPr>
          <w:rFonts w:ascii="Times New Roman" w:hAnsi="Times New Roman"/>
          <w:sz w:val="24"/>
        </w:rPr>
        <w:t xml:space="preserve">Computations </w:t>
      </w:r>
      <w:r w:rsidR="00800BF9">
        <w:rPr>
          <w:rFonts w:ascii="Times New Roman" w:hAnsi="Times New Roman"/>
          <w:sz w:val="24"/>
        </w:rPr>
        <w:t>for</w:t>
      </w:r>
      <w:r>
        <w:rPr>
          <w:rFonts w:ascii="Times New Roman" w:hAnsi="Times New Roman"/>
          <w:sz w:val="24"/>
        </w:rPr>
        <w:t xml:space="preserve"> Schedules M-1 and </w:t>
      </w:r>
      <w:r w:rsidR="00775555" w:rsidRPr="00671C23">
        <w:rPr>
          <w:rFonts w:ascii="Times New Roman" w:hAnsi="Times New Roman"/>
          <w:sz w:val="24"/>
        </w:rPr>
        <w:t xml:space="preserve">M-2 </w:t>
      </w:r>
      <w:r>
        <w:rPr>
          <w:rFonts w:ascii="Times New Roman" w:hAnsi="Times New Roman"/>
          <w:sz w:val="24"/>
        </w:rPr>
        <w:t>are</w:t>
      </w:r>
      <w:r w:rsidR="00775555" w:rsidRPr="00671C23">
        <w:rPr>
          <w:rFonts w:ascii="Times New Roman" w:hAnsi="Times New Roman"/>
          <w:sz w:val="24"/>
        </w:rPr>
        <w:t xml:space="preserve"> illustrate</w:t>
      </w:r>
      <w:r>
        <w:rPr>
          <w:rFonts w:ascii="Times New Roman" w:hAnsi="Times New Roman"/>
          <w:sz w:val="24"/>
        </w:rPr>
        <w:t>d</w:t>
      </w:r>
      <w:r w:rsidR="00775555" w:rsidRPr="00671C23">
        <w:rPr>
          <w:rFonts w:ascii="Times New Roman" w:hAnsi="Times New Roman"/>
          <w:sz w:val="24"/>
        </w:rPr>
        <w:t xml:space="preserve"> </w:t>
      </w:r>
      <w:r>
        <w:rPr>
          <w:rFonts w:ascii="Times New Roman" w:hAnsi="Times New Roman"/>
          <w:sz w:val="24"/>
        </w:rPr>
        <w:t xml:space="preserve">in </w:t>
      </w:r>
      <w:r w:rsidR="00775555" w:rsidRPr="00671C23">
        <w:rPr>
          <w:rFonts w:ascii="Times New Roman" w:hAnsi="Times New Roman"/>
          <w:sz w:val="24"/>
        </w:rPr>
        <w:t>Examples 3</w:t>
      </w:r>
      <w:r w:rsidR="005119D8">
        <w:rPr>
          <w:rFonts w:ascii="Times New Roman" w:hAnsi="Times New Roman"/>
          <w:sz w:val="24"/>
        </w:rPr>
        <w:t>5</w:t>
      </w:r>
      <w:r w:rsidR="00775555" w:rsidRPr="00671C23">
        <w:rPr>
          <w:rFonts w:ascii="Times New Roman" w:hAnsi="Times New Roman"/>
          <w:sz w:val="24"/>
        </w:rPr>
        <w:t xml:space="preserve"> and 3</w:t>
      </w:r>
      <w:r w:rsidR="005119D8">
        <w:rPr>
          <w:rFonts w:ascii="Times New Roman" w:hAnsi="Times New Roman"/>
          <w:sz w:val="24"/>
        </w:rPr>
        <w:t>6</w:t>
      </w:r>
      <w:r w:rsidR="00775555" w:rsidRPr="00671C23">
        <w:rPr>
          <w:rFonts w:ascii="Times New Roman" w:hAnsi="Times New Roman"/>
          <w:sz w:val="24"/>
        </w:rPr>
        <w:t>.</w:t>
      </w:r>
    </w:p>
    <w:p w:rsidR="007A4A91" w:rsidRPr="007A4A91" w:rsidRDefault="007A4A91" w:rsidP="002E04A8">
      <w:pPr>
        <w:pStyle w:val="mainanswerparagraph"/>
        <w:tabs>
          <w:tab w:val="clear" w:pos="720"/>
        </w:tabs>
        <w:spacing w:after="240"/>
        <w:ind w:left="0" w:firstLine="0"/>
        <w:jc w:val="left"/>
        <w:rPr>
          <w:rFonts w:ascii="Times New Roman" w:hAnsi="Times New Roman"/>
          <w:b/>
          <w:sz w:val="24"/>
        </w:rPr>
      </w:pPr>
      <w:r w:rsidRPr="007A4A91">
        <w:rPr>
          <w:rFonts w:ascii="Times New Roman" w:hAnsi="Times New Roman"/>
          <w:b/>
          <w:sz w:val="24"/>
        </w:rPr>
        <w:t>Schedule M-3–Net Income (Loss) Reconciliation for Corporations with Total Assets of $10 Million or More</w:t>
      </w:r>
      <w:r w:rsidR="008F14D0">
        <w:rPr>
          <w:rFonts w:ascii="Times New Roman" w:hAnsi="Times New Roman"/>
          <w:b/>
          <w:sz w:val="24"/>
        </w:rPr>
        <w:t xml:space="preserve"> </w:t>
      </w:r>
    </w:p>
    <w:p w:rsidR="00775555" w:rsidRDefault="00913839" w:rsidP="002E04A8">
      <w:pPr>
        <w:tabs>
          <w:tab w:val="left" w:pos="720"/>
        </w:tabs>
        <w:autoSpaceDE w:val="0"/>
        <w:autoSpaceDN w:val="0"/>
        <w:adjustRightInd w:val="0"/>
        <w:spacing w:line="240" w:lineRule="exact"/>
        <w:ind w:left="720" w:hanging="720"/>
      </w:pPr>
      <w:r>
        <w:t>2</w:t>
      </w:r>
      <w:r w:rsidR="00343B70">
        <w:t>9</w:t>
      </w:r>
      <w:r w:rsidR="007A4A91">
        <w:tab/>
      </w:r>
      <w:r w:rsidR="00775555">
        <w:t>Corporat</w:t>
      </w:r>
      <w:r w:rsidR="004F34BD">
        <w:t>ions with at least $10 million in</w:t>
      </w:r>
      <w:r w:rsidR="00775555">
        <w:t xml:space="preserve"> total assets </w:t>
      </w:r>
      <w:r w:rsidR="00150F99">
        <w:t xml:space="preserve">on </w:t>
      </w:r>
      <w:r w:rsidR="00B441FD">
        <w:t xml:space="preserve">their financial statements </w:t>
      </w:r>
      <w:r w:rsidR="001E6CD3">
        <w:t>must</w:t>
      </w:r>
      <w:r w:rsidR="00775555">
        <w:t xml:space="preserve"> report much greater </w:t>
      </w:r>
      <w:r w:rsidR="00775555">
        <w:rPr>
          <w:color w:val="000000"/>
        </w:rPr>
        <w:t>detail</w:t>
      </w:r>
      <w:r w:rsidR="00775555">
        <w:t xml:space="preserve"> relative to financial </w:t>
      </w:r>
      <w:r w:rsidR="001962E5">
        <w:t xml:space="preserve">and tax </w:t>
      </w:r>
      <w:r w:rsidR="00775555">
        <w:t xml:space="preserve">income (loss) </w:t>
      </w:r>
      <w:r w:rsidR="001962E5">
        <w:t>differences on Schedule M-3</w:t>
      </w:r>
      <w:r w:rsidR="00775555">
        <w:t>.</w:t>
      </w:r>
      <w:r w:rsidR="00355F31">
        <w:t xml:space="preserve"> Th</w:t>
      </w:r>
      <w:r w:rsidR="001962E5">
        <w:t>is</w:t>
      </w:r>
      <w:r w:rsidR="00355F31">
        <w:t xml:space="preserve"> form is a response to the financial scandals.</w:t>
      </w:r>
    </w:p>
    <w:p w:rsidR="00276A08" w:rsidRDefault="00276A08" w:rsidP="002E04A8">
      <w:pPr>
        <w:tabs>
          <w:tab w:val="left" w:pos="720"/>
        </w:tabs>
        <w:autoSpaceDE w:val="0"/>
        <w:autoSpaceDN w:val="0"/>
        <w:adjustRightInd w:val="0"/>
        <w:spacing w:line="240" w:lineRule="exact"/>
        <w:ind w:left="720" w:hanging="720"/>
      </w:pPr>
    </w:p>
    <w:p w:rsidR="00276A08" w:rsidRDefault="00276A08" w:rsidP="002E04A8">
      <w:pPr>
        <w:tabs>
          <w:tab w:val="left" w:pos="720"/>
        </w:tabs>
        <w:autoSpaceDE w:val="0"/>
        <w:autoSpaceDN w:val="0"/>
        <w:adjustRightInd w:val="0"/>
        <w:spacing w:line="240" w:lineRule="exact"/>
        <w:ind w:left="720" w:hanging="720"/>
      </w:pPr>
      <w:r>
        <w:tab/>
        <w:t>a.</w:t>
      </w:r>
      <w:r>
        <w:tab/>
        <w:t xml:space="preserve">Any corporation required to file a Schedule M-3 does not file a Schedule M-1. </w:t>
      </w:r>
    </w:p>
    <w:p w:rsidR="00775555" w:rsidRDefault="00775555" w:rsidP="002E04A8">
      <w:pPr>
        <w:autoSpaceDE w:val="0"/>
        <w:autoSpaceDN w:val="0"/>
        <w:adjustRightInd w:val="0"/>
        <w:spacing w:line="240" w:lineRule="exact"/>
        <w:ind w:left="540" w:hanging="540"/>
      </w:pPr>
    </w:p>
    <w:p w:rsidR="001A1968" w:rsidRDefault="00775555" w:rsidP="002E04A8">
      <w:pPr>
        <w:tabs>
          <w:tab w:val="left" w:pos="720"/>
          <w:tab w:val="right" w:pos="1008"/>
          <w:tab w:val="left" w:pos="1440"/>
          <w:tab w:val="left" w:pos="1584"/>
          <w:tab w:val="right" w:pos="9720"/>
        </w:tabs>
        <w:spacing w:line="240" w:lineRule="exact"/>
        <w:ind w:left="1440" w:hanging="720"/>
      </w:pPr>
      <w:r>
        <w:t>b.</w:t>
      </w:r>
      <w:r>
        <w:tab/>
      </w:r>
      <w:r>
        <w:tab/>
        <w:t>O</w:t>
      </w:r>
      <w:r w:rsidR="001A1968">
        <w:t>bjectives of</w:t>
      </w:r>
      <w:r w:rsidR="00A343F7">
        <w:t xml:space="preserve"> Schedule M-3 are the following.</w:t>
      </w:r>
    </w:p>
    <w:p w:rsidR="001A1968" w:rsidRDefault="001A1968" w:rsidP="002E04A8">
      <w:pPr>
        <w:tabs>
          <w:tab w:val="right" w:pos="9720"/>
        </w:tabs>
        <w:spacing w:line="240" w:lineRule="exact"/>
        <w:ind w:left="1440" w:hanging="720"/>
      </w:pPr>
    </w:p>
    <w:p w:rsidR="001A1968" w:rsidRDefault="001A1968" w:rsidP="002E04A8">
      <w:pPr>
        <w:spacing w:line="240" w:lineRule="exact"/>
      </w:pPr>
      <w:r>
        <w:tab/>
      </w:r>
      <w:r>
        <w:tab/>
      </w:r>
      <w:r w:rsidR="00775555">
        <w:t xml:space="preserve">(1) </w:t>
      </w:r>
      <w:r>
        <w:tab/>
        <w:t>C</w:t>
      </w:r>
      <w:r w:rsidR="00775555">
        <w:t xml:space="preserve">reate </w:t>
      </w:r>
      <w:r w:rsidR="00A343F7">
        <w:t>greater</w:t>
      </w:r>
      <w:r w:rsidR="00775555">
        <w:t xml:space="preserve"> transparency between </w:t>
      </w:r>
      <w:r w:rsidR="00A343F7">
        <w:t xml:space="preserve">financial statements and tax </w:t>
      </w:r>
      <w:r>
        <w:t>returns.</w:t>
      </w:r>
    </w:p>
    <w:p w:rsidR="00355F31" w:rsidRDefault="00355F31" w:rsidP="002E04A8">
      <w:pPr>
        <w:spacing w:line="240" w:lineRule="exact"/>
      </w:pPr>
    </w:p>
    <w:p w:rsidR="00775555" w:rsidRDefault="00775555" w:rsidP="005119D8">
      <w:pPr>
        <w:spacing w:line="240" w:lineRule="exact"/>
        <w:ind w:left="2160" w:hanging="720"/>
      </w:pPr>
      <w:r>
        <w:t xml:space="preserve">(2) </w:t>
      </w:r>
      <w:r w:rsidR="00B76227">
        <w:tab/>
      </w:r>
      <w:r w:rsidR="001A1968">
        <w:t>I</w:t>
      </w:r>
      <w:r>
        <w:t>dentify corporations engag</w:t>
      </w:r>
      <w:r w:rsidR="00A343F7">
        <w:t>ing</w:t>
      </w:r>
      <w:r>
        <w:t xml:space="preserve"> in aggres</w:t>
      </w:r>
      <w:r w:rsidR="00A343F7">
        <w:t xml:space="preserve">sive tax practices by highlighting </w:t>
      </w:r>
      <w:r w:rsidRPr="00B76227">
        <w:t>transactions that create book/tax differences</w:t>
      </w:r>
      <w:r w:rsidR="00A343F7">
        <w:t>.</w:t>
      </w:r>
    </w:p>
    <w:p w:rsidR="007104BF" w:rsidRDefault="007104BF" w:rsidP="002E04A8">
      <w:pPr>
        <w:spacing w:line="240" w:lineRule="exact"/>
        <w:ind w:left="2160" w:hanging="2160"/>
      </w:pPr>
    </w:p>
    <w:p w:rsidR="005119D8" w:rsidRDefault="005119D8" w:rsidP="005119D8">
      <w:pPr>
        <w:tabs>
          <w:tab w:val="left" w:pos="720"/>
          <w:tab w:val="right" w:pos="1008"/>
          <w:tab w:val="left" w:pos="1440"/>
          <w:tab w:val="left" w:pos="1584"/>
          <w:tab w:val="right" w:pos="9720"/>
        </w:tabs>
        <w:spacing w:line="240" w:lineRule="exact"/>
        <w:ind w:left="1440" w:hanging="720"/>
      </w:pPr>
      <w:proofErr w:type="gramStart"/>
      <w:r>
        <w:t>c</w:t>
      </w:r>
      <w:proofErr w:type="gramEnd"/>
      <w:r>
        <w:t>.</w:t>
      </w:r>
      <w:r>
        <w:tab/>
      </w:r>
      <w:r>
        <w:tab/>
        <w:t>See Rev. Proc. 2011-13, 2011 C.B. 318 for guidance on when adequate disclosure requirement of §</w:t>
      </w:r>
      <w:r w:rsidR="00884DC7">
        <w:t xml:space="preserve"> </w:t>
      </w:r>
      <w:r>
        <w:t>6662(d) (understatement of tax) is satisfied with regards to Schedule M-3.</w:t>
      </w:r>
    </w:p>
    <w:p w:rsidR="005119D8" w:rsidRDefault="005119D8" w:rsidP="002E04A8">
      <w:pPr>
        <w:spacing w:line="240" w:lineRule="exact"/>
        <w:ind w:left="2160" w:hanging="2160"/>
      </w:pPr>
    </w:p>
    <w:p w:rsidR="00775555" w:rsidRDefault="00343B70" w:rsidP="002E04A8">
      <w:pPr>
        <w:spacing w:line="240" w:lineRule="exact"/>
      </w:pPr>
      <w:r>
        <w:t>30.</w:t>
      </w:r>
      <w:r>
        <w:tab/>
      </w:r>
      <w:r w:rsidR="007104BF">
        <w:t>Schedule</w:t>
      </w:r>
      <w:r w:rsidR="00FB7847">
        <w:t xml:space="preserve"> M-3 has three parts.</w:t>
      </w:r>
    </w:p>
    <w:p w:rsidR="00FB7847" w:rsidRDefault="00FB7847" w:rsidP="002E04A8">
      <w:pPr>
        <w:spacing w:line="240" w:lineRule="exact"/>
      </w:pPr>
    </w:p>
    <w:p w:rsidR="00FB7847" w:rsidRDefault="00FB7847" w:rsidP="002E04A8">
      <w:pPr>
        <w:spacing w:line="240" w:lineRule="exact"/>
      </w:pPr>
      <w:r>
        <w:tab/>
        <w:t xml:space="preserve">a. </w:t>
      </w:r>
      <w:r w:rsidR="00F00C0D">
        <w:tab/>
      </w:r>
      <w:r w:rsidR="00FF3AA5">
        <w:t>Part I</w:t>
      </w:r>
      <w:r w:rsidR="00F00C0D">
        <w:t xml:space="preserve"> is financial information and </w:t>
      </w:r>
      <w:r w:rsidR="00D106B1">
        <w:t xml:space="preserve">the </w:t>
      </w:r>
      <w:r w:rsidR="00F00C0D">
        <w:t>net income (loss) reconciliation.</w:t>
      </w:r>
    </w:p>
    <w:p w:rsidR="00F00C0D" w:rsidRDefault="00F00C0D" w:rsidP="002E04A8">
      <w:pPr>
        <w:spacing w:line="240" w:lineRule="exact"/>
      </w:pPr>
      <w:r>
        <w:tab/>
      </w:r>
    </w:p>
    <w:p w:rsidR="00D05DE1" w:rsidRDefault="00F00C0D" w:rsidP="00183068">
      <w:pPr>
        <w:pStyle w:val="mainanswerparagraph"/>
        <w:ind w:left="2160"/>
        <w:jc w:val="left"/>
        <w:rPr>
          <w:rFonts w:ascii="Times New Roman" w:hAnsi="Times New Roman"/>
          <w:sz w:val="24"/>
        </w:rPr>
      </w:pPr>
      <w:r>
        <w:rPr>
          <w:rFonts w:ascii="Times New Roman" w:hAnsi="Times New Roman"/>
          <w:sz w:val="24"/>
        </w:rPr>
        <w:t>(1)</w:t>
      </w:r>
      <w:r>
        <w:rPr>
          <w:rFonts w:ascii="Times New Roman" w:hAnsi="Times New Roman"/>
          <w:sz w:val="24"/>
        </w:rPr>
        <w:tab/>
      </w:r>
      <w:r w:rsidR="000D0599">
        <w:rPr>
          <w:rFonts w:ascii="Times New Roman" w:hAnsi="Times New Roman"/>
          <w:sz w:val="24"/>
        </w:rPr>
        <w:t>F</w:t>
      </w:r>
      <w:r w:rsidR="00F33B70">
        <w:rPr>
          <w:rFonts w:ascii="Times New Roman" w:hAnsi="Times New Roman"/>
          <w:sz w:val="24"/>
        </w:rPr>
        <w:t>inancial net income (loss) source</w:t>
      </w:r>
      <w:r w:rsidR="00D106B1">
        <w:rPr>
          <w:rFonts w:ascii="Times New Roman" w:hAnsi="Times New Roman"/>
          <w:sz w:val="24"/>
        </w:rPr>
        <w:t>s</w:t>
      </w:r>
      <w:r w:rsidR="00F33B70">
        <w:rPr>
          <w:rFonts w:ascii="Times New Roman" w:hAnsi="Times New Roman"/>
          <w:sz w:val="24"/>
        </w:rPr>
        <w:t xml:space="preserve"> come from the SEC Form 10-K</w:t>
      </w:r>
      <w:r w:rsidR="00CA2CA4">
        <w:rPr>
          <w:rFonts w:ascii="Times New Roman" w:hAnsi="Times New Roman"/>
          <w:sz w:val="24"/>
        </w:rPr>
        <w:t xml:space="preserve">, financial statements, or the </w:t>
      </w:r>
      <w:r w:rsidR="00CA2CA4" w:rsidRPr="00CA2CA4">
        <w:rPr>
          <w:rFonts w:ascii="Times New Roman" w:hAnsi="Times New Roman"/>
          <w:sz w:val="24"/>
        </w:rPr>
        <w:t>corporation</w:t>
      </w:r>
      <w:r w:rsidR="00CA2CA4">
        <w:rPr>
          <w:rFonts w:ascii="Times New Roman" w:hAnsi="Times New Roman"/>
          <w:sz w:val="24"/>
        </w:rPr>
        <w:t>’s books and records.</w:t>
      </w:r>
    </w:p>
    <w:p w:rsidR="000A7E93" w:rsidRDefault="000A7E93" w:rsidP="00183068">
      <w:pPr>
        <w:pStyle w:val="mainanswerparagraph"/>
        <w:ind w:left="2160"/>
        <w:jc w:val="left"/>
        <w:rPr>
          <w:rFonts w:ascii="Times New Roman" w:hAnsi="Times New Roman"/>
          <w:sz w:val="24"/>
        </w:rPr>
      </w:pPr>
    </w:p>
    <w:p w:rsidR="000A7E93" w:rsidRPr="001D7AD0" w:rsidRDefault="000A7E93" w:rsidP="00183068">
      <w:pPr>
        <w:pStyle w:val="mainanswerparagraph"/>
        <w:ind w:left="2160"/>
        <w:jc w:val="left"/>
        <w:rPr>
          <w:rFonts w:ascii="Times New Roman" w:hAnsi="Times New Roman"/>
          <w:sz w:val="24"/>
          <w:szCs w:val="24"/>
        </w:rPr>
      </w:pPr>
      <w:r>
        <w:rPr>
          <w:rFonts w:ascii="Times New Roman" w:hAnsi="Times New Roman"/>
          <w:sz w:val="24"/>
        </w:rPr>
        <w:t>(2)</w:t>
      </w:r>
      <w:r>
        <w:rPr>
          <w:rFonts w:ascii="Times New Roman" w:hAnsi="Times New Roman"/>
          <w:sz w:val="24"/>
        </w:rPr>
        <w:tab/>
        <w:t>Any inco</w:t>
      </w:r>
      <w:r w:rsidRPr="001D7AD0">
        <w:rPr>
          <w:rFonts w:ascii="Times New Roman" w:hAnsi="Times New Roman"/>
          <w:sz w:val="24"/>
          <w:szCs w:val="24"/>
        </w:rPr>
        <w:t xml:space="preserve">me statement restatements </w:t>
      </w:r>
      <w:r w:rsidR="002B1EBD" w:rsidRPr="001D7AD0">
        <w:rPr>
          <w:rFonts w:ascii="Times New Roman" w:hAnsi="Times New Roman"/>
          <w:sz w:val="24"/>
          <w:szCs w:val="24"/>
        </w:rPr>
        <w:t>o</w:t>
      </w:r>
      <w:r w:rsidR="00E27FB8" w:rsidRPr="001D7AD0">
        <w:rPr>
          <w:rFonts w:ascii="Times New Roman" w:hAnsi="Times New Roman"/>
          <w:sz w:val="24"/>
          <w:szCs w:val="24"/>
        </w:rPr>
        <w:t xml:space="preserve">r adjustments for the current or past 5 years </w:t>
      </w:r>
      <w:r w:rsidRPr="001D7AD0">
        <w:rPr>
          <w:rFonts w:ascii="Times New Roman" w:hAnsi="Times New Roman"/>
          <w:sz w:val="24"/>
          <w:szCs w:val="24"/>
        </w:rPr>
        <w:t>should be included</w:t>
      </w:r>
      <w:r w:rsidR="00E27FB8" w:rsidRPr="001D7AD0">
        <w:rPr>
          <w:rFonts w:ascii="Times New Roman" w:hAnsi="Times New Roman"/>
          <w:sz w:val="24"/>
          <w:szCs w:val="24"/>
        </w:rPr>
        <w:t>.</w:t>
      </w:r>
    </w:p>
    <w:p w:rsidR="00E27FB8" w:rsidRPr="001D7AD0" w:rsidRDefault="00E27FB8" w:rsidP="002E04A8">
      <w:pPr>
        <w:pStyle w:val="mainanswerparagraph"/>
        <w:ind w:left="2160" w:hanging="2160"/>
        <w:jc w:val="left"/>
        <w:rPr>
          <w:rFonts w:ascii="Times New Roman" w:hAnsi="Times New Roman"/>
          <w:sz w:val="24"/>
          <w:szCs w:val="24"/>
        </w:rPr>
      </w:pPr>
    </w:p>
    <w:p w:rsidR="0021491A" w:rsidRPr="001D7AD0" w:rsidRDefault="00E27FB8" w:rsidP="002E04A8">
      <w:pPr>
        <w:pStyle w:val="mainanswerparagraph"/>
        <w:ind w:left="1440" w:hanging="1440"/>
        <w:jc w:val="left"/>
        <w:rPr>
          <w:rFonts w:ascii="Times New Roman" w:hAnsi="Times New Roman"/>
          <w:sz w:val="24"/>
          <w:szCs w:val="24"/>
        </w:rPr>
      </w:pPr>
      <w:r w:rsidRPr="001D7AD0">
        <w:rPr>
          <w:rFonts w:ascii="Times New Roman" w:hAnsi="Times New Roman"/>
          <w:sz w:val="24"/>
          <w:szCs w:val="24"/>
        </w:rPr>
        <w:tab/>
      </w:r>
      <w:r w:rsidR="002B1EBD" w:rsidRPr="001D7AD0">
        <w:rPr>
          <w:rFonts w:ascii="Times New Roman" w:hAnsi="Times New Roman"/>
          <w:sz w:val="24"/>
          <w:szCs w:val="24"/>
        </w:rPr>
        <w:t>b.</w:t>
      </w:r>
      <w:r w:rsidR="002B1EBD" w:rsidRPr="001D7AD0">
        <w:rPr>
          <w:rFonts w:ascii="Times New Roman" w:hAnsi="Times New Roman"/>
          <w:sz w:val="24"/>
          <w:szCs w:val="24"/>
        </w:rPr>
        <w:tab/>
        <w:t xml:space="preserve">Part </w:t>
      </w:r>
      <w:r w:rsidR="00FF3AA5" w:rsidRPr="001D7AD0">
        <w:rPr>
          <w:rFonts w:ascii="Times New Roman" w:hAnsi="Times New Roman"/>
          <w:sz w:val="24"/>
          <w:szCs w:val="24"/>
        </w:rPr>
        <w:t>II</w:t>
      </w:r>
      <w:r w:rsidR="002B1EBD" w:rsidRPr="001D7AD0">
        <w:rPr>
          <w:rFonts w:ascii="Times New Roman" w:hAnsi="Times New Roman"/>
          <w:sz w:val="24"/>
          <w:szCs w:val="24"/>
        </w:rPr>
        <w:t xml:space="preserve"> reconcil</w:t>
      </w:r>
      <w:r w:rsidR="006816A2" w:rsidRPr="001D7AD0">
        <w:rPr>
          <w:rFonts w:ascii="Times New Roman" w:hAnsi="Times New Roman"/>
          <w:sz w:val="24"/>
          <w:szCs w:val="24"/>
        </w:rPr>
        <w:t xml:space="preserve">es </w:t>
      </w:r>
      <w:r w:rsidR="002B1EBD" w:rsidRPr="001D7AD0">
        <w:rPr>
          <w:rFonts w:ascii="Times New Roman" w:hAnsi="Times New Roman"/>
          <w:sz w:val="24"/>
          <w:szCs w:val="24"/>
        </w:rPr>
        <w:t>net income (loss) of includible corporations with taxable income on the return.</w:t>
      </w:r>
      <w:r w:rsidR="001D7AD0" w:rsidRPr="001D7AD0">
        <w:rPr>
          <w:rFonts w:ascii="Times New Roman" w:hAnsi="Times New Roman"/>
          <w:sz w:val="24"/>
          <w:szCs w:val="24"/>
        </w:rPr>
        <w:t xml:space="preserve"> C</w:t>
      </w:r>
      <w:r w:rsidR="005B368F" w:rsidRPr="001D7AD0">
        <w:rPr>
          <w:rFonts w:ascii="Times New Roman" w:hAnsi="Times New Roman"/>
          <w:sz w:val="24"/>
          <w:szCs w:val="24"/>
        </w:rPr>
        <w:t>orporations included in the financial reporting group may differ from the tax reporting group.</w:t>
      </w:r>
    </w:p>
    <w:p w:rsidR="00D05DE1" w:rsidRPr="001D7AD0" w:rsidRDefault="00D05DE1" w:rsidP="002E04A8">
      <w:pPr>
        <w:tabs>
          <w:tab w:val="right" w:pos="1008"/>
          <w:tab w:val="left" w:pos="1296"/>
          <w:tab w:val="left" w:pos="1584"/>
          <w:tab w:val="right" w:pos="9720"/>
        </w:tabs>
        <w:spacing w:line="240" w:lineRule="exact"/>
        <w:ind w:left="720" w:hanging="720"/>
      </w:pPr>
    </w:p>
    <w:p w:rsidR="005B368F" w:rsidRDefault="005B368F" w:rsidP="00684849">
      <w:pPr>
        <w:keepNext/>
        <w:spacing w:line="240" w:lineRule="exact"/>
      </w:pPr>
      <w:r w:rsidRPr="001D7AD0">
        <w:tab/>
      </w:r>
      <w:r w:rsidR="00432B4B" w:rsidRPr="001D7AD0">
        <w:t>c.</w:t>
      </w:r>
      <w:r w:rsidR="00432B4B" w:rsidRPr="001D7AD0">
        <w:tab/>
        <w:t xml:space="preserve">Part </w:t>
      </w:r>
      <w:r w:rsidR="00FF3AA5" w:rsidRPr="001D7AD0">
        <w:t>III</w:t>
      </w:r>
      <w:r w:rsidR="00432B4B" w:rsidRPr="001D7AD0">
        <w:t xml:space="preserve"> reconcil</w:t>
      </w:r>
      <w:r w:rsidR="003A3ACA">
        <w:t>es e</w:t>
      </w:r>
      <w:r w:rsidR="00432B4B">
        <w:t>xpense and deduction items.</w:t>
      </w:r>
    </w:p>
    <w:p w:rsidR="0064294C" w:rsidRDefault="0064294C" w:rsidP="00684849">
      <w:pPr>
        <w:keepNext/>
        <w:tabs>
          <w:tab w:val="left" w:pos="1440"/>
          <w:tab w:val="right" w:pos="9720"/>
        </w:tabs>
        <w:spacing w:line="240" w:lineRule="exact"/>
        <w:ind w:left="720" w:hanging="720"/>
      </w:pPr>
    </w:p>
    <w:p w:rsidR="00ED7E87" w:rsidRDefault="00FF3AA5" w:rsidP="00183068">
      <w:pPr>
        <w:keepNext/>
        <w:spacing w:line="240" w:lineRule="exact"/>
        <w:ind w:left="2160" w:hanging="720"/>
      </w:pPr>
      <w:r>
        <w:t>(1)</w:t>
      </w:r>
      <w:r w:rsidR="0064294C">
        <w:tab/>
      </w:r>
      <w:r w:rsidR="006D4BF4">
        <w:t>L</w:t>
      </w:r>
      <w:r w:rsidR="00ED7E87">
        <w:t>ist</w:t>
      </w:r>
      <w:r w:rsidR="006D4BF4">
        <w:t>s</w:t>
      </w:r>
      <w:r w:rsidR="00ED7E87">
        <w:t xml:space="preserve"> 3</w:t>
      </w:r>
      <w:r w:rsidR="00535981">
        <w:t>6</w:t>
      </w:r>
      <w:r w:rsidR="00ED7E87">
        <w:t xml:space="preserve"> expense and deduction </w:t>
      </w:r>
      <w:r w:rsidR="006D4BF4">
        <w:t>items to reconcile.</w:t>
      </w:r>
      <w:r w:rsidR="0064294C">
        <w:tab/>
      </w:r>
    </w:p>
    <w:p w:rsidR="003C7880" w:rsidRDefault="003C7880" w:rsidP="00183068">
      <w:pPr>
        <w:keepNext/>
        <w:spacing w:line="240" w:lineRule="exact"/>
        <w:ind w:left="2160" w:hanging="720"/>
      </w:pPr>
    </w:p>
    <w:p w:rsidR="00FF3AA5" w:rsidRDefault="00ED7E87" w:rsidP="00183068">
      <w:pPr>
        <w:spacing w:line="240" w:lineRule="exact"/>
        <w:ind w:left="2160" w:hanging="720"/>
      </w:pPr>
      <w:r>
        <w:t>(2)</w:t>
      </w:r>
      <w:r>
        <w:tab/>
      </w:r>
      <w:r w:rsidR="006D4BF4">
        <w:t>D</w:t>
      </w:r>
      <w:r w:rsidR="009E71CA">
        <w:t xml:space="preserve">ifferences between financial and tax amounts must be classified as </w:t>
      </w:r>
      <w:r w:rsidR="004637E7">
        <w:t>being</w:t>
      </w:r>
      <w:r w:rsidR="009E71CA">
        <w:t xml:space="preserve"> temporary or permanent.</w:t>
      </w:r>
      <w:r w:rsidR="00FF3AA5">
        <w:tab/>
      </w:r>
    </w:p>
    <w:p w:rsidR="000D54BB" w:rsidRDefault="000D54BB" w:rsidP="00183068">
      <w:pPr>
        <w:pStyle w:val="centeringpage"/>
        <w:spacing w:line="240" w:lineRule="exact"/>
        <w:ind w:hanging="720"/>
        <w:jc w:val="left"/>
        <w:rPr>
          <w:rFonts w:ascii="Times New Roman" w:hAnsi="Times New Roman"/>
          <w:b w:val="0"/>
          <w:sz w:val="24"/>
        </w:rPr>
      </w:pPr>
    </w:p>
    <w:p w:rsidR="000D54BB" w:rsidRDefault="000D54BB" w:rsidP="000D54BB">
      <w:pPr>
        <w:pStyle w:val="centeringpage"/>
        <w:spacing w:line="240" w:lineRule="exact"/>
        <w:jc w:val="left"/>
        <w:rPr>
          <w:rFonts w:ascii="Times New Roman" w:hAnsi="Times New Roman"/>
          <w:sz w:val="24"/>
        </w:rPr>
      </w:pPr>
      <w:r>
        <w:rPr>
          <w:rFonts w:ascii="Times New Roman" w:hAnsi="Times New Roman"/>
          <w:sz w:val="24"/>
        </w:rPr>
        <w:t>Schedule UTP (Uncertain Tax Position Statement)</w:t>
      </w:r>
    </w:p>
    <w:p w:rsidR="000D54BB" w:rsidRDefault="000D54BB" w:rsidP="000D54BB">
      <w:pPr>
        <w:pStyle w:val="centeringpage"/>
        <w:spacing w:line="240" w:lineRule="exact"/>
        <w:jc w:val="left"/>
        <w:rPr>
          <w:rFonts w:ascii="Times New Roman" w:hAnsi="Times New Roman"/>
          <w:b w:val="0"/>
          <w:sz w:val="24"/>
        </w:rPr>
      </w:pPr>
    </w:p>
    <w:p w:rsidR="000D54BB" w:rsidRDefault="000D54BB" w:rsidP="004B7E1D">
      <w:pPr>
        <w:pStyle w:val="centeringpage"/>
        <w:spacing w:line="240" w:lineRule="exact"/>
        <w:ind w:left="720" w:hanging="720"/>
        <w:jc w:val="left"/>
        <w:rPr>
          <w:rFonts w:ascii="Times New Roman" w:hAnsi="Times New Roman"/>
          <w:b w:val="0"/>
          <w:sz w:val="24"/>
        </w:rPr>
      </w:pPr>
      <w:r>
        <w:rPr>
          <w:rFonts w:ascii="Times New Roman" w:hAnsi="Times New Roman"/>
          <w:b w:val="0"/>
          <w:sz w:val="24"/>
        </w:rPr>
        <w:lastRenderedPageBreak/>
        <w:t>31.</w:t>
      </w:r>
      <w:r>
        <w:rPr>
          <w:rFonts w:ascii="Times New Roman" w:hAnsi="Times New Roman"/>
          <w:b w:val="0"/>
          <w:sz w:val="24"/>
        </w:rPr>
        <w:tab/>
      </w:r>
      <w:r w:rsidR="00884DC7">
        <w:rPr>
          <w:rFonts w:ascii="Times New Roman" w:hAnsi="Times New Roman"/>
          <w:b w:val="0"/>
          <w:sz w:val="24"/>
        </w:rPr>
        <w:t xml:space="preserve">For 2012 and 2013, Schedule UTP must be filed by corporations with </w:t>
      </w:r>
      <w:r>
        <w:rPr>
          <w:rFonts w:ascii="Times New Roman" w:hAnsi="Times New Roman"/>
          <w:b w:val="0"/>
          <w:sz w:val="24"/>
        </w:rPr>
        <w:t>$</w:t>
      </w:r>
      <w:r w:rsidR="00884DC7">
        <w:rPr>
          <w:rFonts w:ascii="Times New Roman" w:hAnsi="Times New Roman"/>
          <w:b w:val="0"/>
          <w:sz w:val="24"/>
        </w:rPr>
        <w:t>5</w:t>
      </w:r>
      <w:r>
        <w:rPr>
          <w:rFonts w:ascii="Times New Roman" w:hAnsi="Times New Roman"/>
          <w:b w:val="0"/>
          <w:sz w:val="24"/>
        </w:rPr>
        <w:t xml:space="preserve">0 million or more in assets ($10 million or more in assets beginning in 2014) </w:t>
      </w:r>
      <w:r w:rsidR="00F6745E">
        <w:rPr>
          <w:rFonts w:ascii="Times New Roman" w:hAnsi="Times New Roman"/>
          <w:b w:val="0"/>
          <w:sz w:val="24"/>
        </w:rPr>
        <w:t xml:space="preserve">[Reg. </w:t>
      </w:r>
      <w:r w:rsidR="00884DC7">
        <w:rPr>
          <w:rFonts w:ascii="Times New Roman" w:hAnsi="Times New Roman"/>
          <w:b w:val="0"/>
          <w:sz w:val="24"/>
        </w:rPr>
        <w:t>§</w:t>
      </w:r>
      <w:r w:rsidR="00404CAC">
        <w:rPr>
          <w:rFonts w:ascii="Times New Roman" w:hAnsi="Times New Roman"/>
          <w:b w:val="0"/>
          <w:sz w:val="24"/>
        </w:rPr>
        <w:t xml:space="preserve"> </w:t>
      </w:r>
      <w:r w:rsidR="00F6745E">
        <w:rPr>
          <w:rFonts w:ascii="Times New Roman" w:hAnsi="Times New Roman"/>
          <w:b w:val="0"/>
          <w:sz w:val="24"/>
        </w:rPr>
        <w:t xml:space="preserve">1.6012-2(a)(4) and Announcement 2010-75, 2010-1 C.B. 428]. </w:t>
      </w:r>
      <w:r>
        <w:rPr>
          <w:rFonts w:ascii="Times New Roman" w:hAnsi="Times New Roman"/>
          <w:b w:val="0"/>
          <w:sz w:val="24"/>
        </w:rPr>
        <w:t xml:space="preserve">In general, requires reporting tax positions taken on a current (or prior) year’s tax return and for which the corporation recorded a reserve for Federal income tax in its audited financial statements. </w:t>
      </w:r>
      <w:r w:rsidR="00F6745E">
        <w:rPr>
          <w:rFonts w:ascii="Times New Roman" w:hAnsi="Times New Roman"/>
          <w:b w:val="0"/>
          <w:sz w:val="24"/>
        </w:rPr>
        <w:t xml:space="preserve">Final Regulation [Reg. </w:t>
      </w:r>
      <w:r w:rsidR="00884DC7">
        <w:rPr>
          <w:rFonts w:ascii="Times New Roman" w:hAnsi="Times New Roman"/>
          <w:b w:val="0"/>
          <w:sz w:val="24"/>
        </w:rPr>
        <w:t>§</w:t>
      </w:r>
      <w:r w:rsidR="00404CAC">
        <w:rPr>
          <w:rFonts w:ascii="Times New Roman" w:hAnsi="Times New Roman"/>
          <w:b w:val="0"/>
          <w:sz w:val="24"/>
        </w:rPr>
        <w:t xml:space="preserve"> </w:t>
      </w:r>
      <w:r w:rsidR="00F6745E">
        <w:rPr>
          <w:rFonts w:ascii="Times New Roman" w:hAnsi="Times New Roman"/>
          <w:b w:val="0"/>
          <w:sz w:val="24"/>
        </w:rPr>
        <w:t>1.6012-2(a</w:t>
      </w:r>
      <w:proofErr w:type="gramStart"/>
      <w:r w:rsidR="00F6745E">
        <w:rPr>
          <w:rFonts w:ascii="Times New Roman" w:hAnsi="Times New Roman"/>
          <w:b w:val="0"/>
          <w:sz w:val="24"/>
        </w:rPr>
        <w:t>)(</w:t>
      </w:r>
      <w:proofErr w:type="gramEnd"/>
      <w:r w:rsidR="00F6745E">
        <w:rPr>
          <w:rFonts w:ascii="Times New Roman" w:hAnsi="Times New Roman"/>
          <w:b w:val="0"/>
          <w:sz w:val="24"/>
        </w:rPr>
        <w:t xml:space="preserve">4)] was issued in 2011 (see T.D. 9510). </w:t>
      </w:r>
      <w:r>
        <w:rPr>
          <w:rFonts w:ascii="Times New Roman" w:hAnsi="Times New Roman"/>
          <w:b w:val="0"/>
          <w:sz w:val="24"/>
        </w:rPr>
        <w:t>See Chapter 14 for a discussion on financial reporting of tax positions.</w:t>
      </w:r>
    </w:p>
    <w:p w:rsidR="00A5046E" w:rsidRDefault="00A5046E" w:rsidP="002E04A8">
      <w:pPr>
        <w:pStyle w:val="centeringpage"/>
        <w:spacing w:line="240" w:lineRule="exact"/>
        <w:jc w:val="left"/>
        <w:rPr>
          <w:rFonts w:ascii="Times New Roman" w:hAnsi="Times New Roman"/>
          <w:sz w:val="24"/>
        </w:rPr>
      </w:pPr>
    </w:p>
    <w:p w:rsidR="00E05DC9" w:rsidRDefault="00E05DC9" w:rsidP="002E04A8">
      <w:pPr>
        <w:pStyle w:val="centeringpage"/>
        <w:spacing w:line="240" w:lineRule="exact"/>
        <w:jc w:val="left"/>
        <w:rPr>
          <w:rFonts w:ascii="Times New Roman" w:hAnsi="Times New Roman"/>
          <w:sz w:val="24"/>
        </w:rPr>
      </w:pPr>
    </w:p>
    <w:p w:rsidR="00E05DC9" w:rsidRDefault="00E05DC9" w:rsidP="002E04A8">
      <w:pPr>
        <w:pStyle w:val="centeringpage"/>
        <w:spacing w:line="240" w:lineRule="exact"/>
        <w:jc w:val="left"/>
        <w:rPr>
          <w:rFonts w:ascii="Times New Roman" w:hAnsi="Times New Roman"/>
          <w:sz w:val="24"/>
        </w:rPr>
      </w:pPr>
    </w:p>
    <w:p w:rsidR="00A5046E" w:rsidRDefault="00A5046E" w:rsidP="002E04A8">
      <w:pPr>
        <w:pStyle w:val="centeringpage"/>
        <w:spacing w:line="240" w:lineRule="exact"/>
        <w:jc w:val="left"/>
        <w:rPr>
          <w:rFonts w:ascii="Times New Roman" w:hAnsi="Times New Roman"/>
          <w:sz w:val="24"/>
        </w:rPr>
      </w:pPr>
    </w:p>
    <w:p w:rsidR="003C1E9F" w:rsidRDefault="00E61549" w:rsidP="002E04A8">
      <w:pPr>
        <w:pStyle w:val="centeringpage"/>
        <w:spacing w:line="240" w:lineRule="exact"/>
        <w:jc w:val="left"/>
        <w:rPr>
          <w:rFonts w:ascii="Times New Roman" w:hAnsi="Times New Roman"/>
          <w:sz w:val="24"/>
        </w:rPr>
      </w:pPr>
      <w:r w:rsidRPr="00E61549">
        <w:rPr>
          <w:rFonts w:ascii="Times New Roman" w:hAnsi="Times New Roman"/>
          <w:sz w:val="24"/>
        </w:rPr>
        <w:t>Form 1120 Illustration</w:t>
      </w:r>
      <w:r w:rsidR="00E40A76">
        <w:rPr>
          <w:rFonts w:ascii="Times New Roman" w:hAnsi="Times New Roman"/>
          <w:sz w:val="24"/>
        </w:rPr>
        <w:t xml:space="preserve"> </w:t>
      </w:r>
    </w:p>
    <w:p w:rsidR="003C1E9F" w:rsidRDefault="003C1E9F" w:rsidP="002E04A8">
      <w:pPr>
        <w:pStyle w:val="centeringpage"/>
        <w:spacing w:line="240" w:lineRule="exact"/>
        <w:jc w:val="left"/>
        <w:rPr>
          <w:rFonts w:ascii="Times New Roman" w:hAnsi="Times New Roman"/>
          <w:sz w:val="24"/>
        </w:rPr>
      </w:pPr>
    </w:p>
    <w:p w:rsidR="003C1E9F" w:rsidRDefault="00F35409" w:rsidP="002E04A8">
      <w:pPr>
        <w:pStyle w:val="centeringpage"/>
        <w:spacing w:line="240" w:lineRule="exact"/>
        <w:jc w:val="left"/>
        <w:rPr>
          <w:rFonts w:ascii="Times New Roman" w:hAnsi="Times New Roman"/>
          <w:b w:val="0"/>
          <w:sz w:val="24"/>
        </w:rPr>
      </w:pPr>
      <w:r>
        <w:rPr>
          <w:rFonts w:ascii="Times New Roman" w:hAnsi="Times New Roman"/>
          <w:b w:val="0"/>
          <w:sz w:val="24"/>
        </w:rPr>
        <w:t>3</w:t>
      </w:r>
      <w:r w:rsidR="000D54BB">
        <w:rPr>
          <w:rFonts w:ascii="Times New Roman" w:hAnsi="Times New Roman"/>
          <w:b w:val="0"/>
          <w:sz w:val="24"/>
        </w:rPr>
        <w:t>2</w:t>
      </w:r>
      <w:r w:rsidR="003C1E9F">
        <w:rPr>
          <w:rFonts w:ascii="Times New Roman" w:hAnsi="Times New Roman"/>
          <w:b w:val="0"/>
          <w:sz w:val="24"/>
        </w:rPr>
        <w:t>.</w:t>
      </w:r>
      <w:r w:rsidR="003C1E9F">
        <w:rPr>
          <w:rFonts w:ascii="Times New Roman" w:hAnsi="Times New Roman"/>
          <w:b w:val="0"/>
          <w:sz w:val="24"/>
        </w:rPr>
        <w:tab/>
      </w:r>
      <w:r w:rsidR="006B46A5">
        <w:rPr>
          <w:rFonts w:ascii="Times New Roman" w:hAnsi="Times New Roman"/>
          <w:b w:val="0"/>
          <w:sz w:val="24"/>
        </w:rPr>
        <w:t>The illustrative example is useful in introducing the corporate Form 1120.</w:t>
      </w:r>
    </w:p>
    <w:p w:rsidR="00411480" w:rsidRDefault="00411480" w:rsidP="002E04A8">
      <w:pPr>
        <w:pStyle w:val="centeringpage"/>
        <w:spacing w:line="240" w:lineRule="exact"/>
        <w:jc w:val="left"/>
        <w:rPr>
          <w:rFonts w:ascii="Times New Roman" w:hAnsi="Times New Roman"/>
          <w:b w:val="0"/>
          <w:sz w:val="24"/>
        </w:rPr>
      </w:pPr>
    </w:p>
    <w:p w:rsidR="00411480" w:rsidRDefault="00411480" w:rsidP="00411480">
      <w:pPr>
        <w:pBdr>
          <w:bottom w:val="double" w:sz="6" w:space="1" w:color="auto"/>
        </w:pBdr>
        <w:tabs>
          <w:tab w:val="right" w:pos="9720"/>
        </w:tabs>
        <w:spacing w:line="240" w:lineRule="exact"/>
        <w:jc w:val="both"/>
      </w:pPr>
      <w:r>
        <w:tab/>
      </w:r>
    </w:p>
    <w:p w:rsidR="00411480" w:rsidRPr="00BB2729" w:rsidRDefault="00411480" w:rsidP="00411480">
      <w:pPr>
        <w:pStyle w:val="centeringpage"/>
        <w:spacing w:line="240" w:lineRule="exact"/>
        <w:jc w:val="left"/>
        <w:rPr>
          <w:rFonts w:ascii="Times New Roman" w:hAnsi="Times New Roman"/>
          <w:sz w:val="24"/>
        </w:rPr>
      </w:pPr>
    </w:p>
    <w:p w:rsidR="00814D6E" w:rsidRDefault="00814D6E" w:rsidP="00814D6E">
      <w:pPr>
        <w:spacing w:line="240" w:lineRule="exact"/>
        <w:rPr>
          <w:b/>
        </w:rPr>
      </w:pPr>
      <w:r w:rsidRPr="00850D3A">
        <w:rPr>
          <w:b/>
        </w:rPr>
        <w:t xml:space="preserve">Solutions to Research Problems </w:t>
      </w:r>
      <w:r>
        <w:rPr>
          <w:b/>
        </w:rPr>
        <w:t xml:space="preserve">appear </w:t>
      </w:r>
      <w:r w:rsidR="00884DC7">
        <w:rPr>
          <w:b/>
        </w:rPr>
        <w:t>below</w:t>
      </w:r>
      <w:r>
        <w:rPr>
          <w:b/>
        </w:rPr>
        <w:t>.</w:t>
      </w:r>
    </w:p>
    <w:p w:rsidR="00447755" w:rsidRDefault="00447755" w:rsidP="00447755">
      <w:pPr>
        <w:pStyle w:val="centeringpage"/>
        <w:spacing w:line="240" w:lineRule="exact"/>
        <w:jc w:val="left"/>
        <w:rPr>
          <w:rFonts w:ascii="Times New Roman" w:hAnsi="Times New Roman"/>
          <w:sz w:val="24"/>
        </w:rPr>
      </w:pPr>
    </w:p>
    <w:p w:rsidR="000A2F51" w:rsidRDefault="000A2F51">
      <w:pPr>
        <w:rPr>
          <w:b/>
          <w:szCs w:val="20"/>
        </w:rPr>
      </w:pPr>
      <w:r>
        <w:br w:type="page"/>
      </w:r>
    </w:p>
    <w:p w:rsidR="009E706F" w:rsidRDefault="009E706F" w:rsidP="00447755">
      <w:pPr>
        <w:pStyle w:val="centeringpage"/>
        <w:spacing w:line="240" w:lineRule="exact"/>
        <w:jc w:val="left"/>
        <w:rPr>
          <w:rFonts w:ascii="Times New Roman" w:hAnsi="Times New Roman"/>
          <w:sz w:val="24"/>
        </w:rPr>
      </w:pPr>
    </w:p>
    <w:p w:rsidR="009E706F" w:rsidRPr="000A2F51" w:rsidRDefault="009E706F" w:rsidP="000A2F51">
      <w:pPr>
        <w:jc w:val="center"/>
        <w:rPr>
          <w:b/>
          <w:caps/>
        </w:rPr>
      </w:pPr>
      <w:r w:rsidRPr="000A2F51">
        <w:rPr>
          <w:b/>
          <w:caps/>
        </w:rPr>
        <w:t>Solutions to Research Problems</w:t>
      </w:r>
    </w:p>
    <w:p w:rsidR="009E706F" w:rsidRPr="009E706F" w:rsidRDefault="009E706F" w:rsidP="009E706F">
      <w:pPr>
        <w:rPr>
          <w:b/>
        </w:rPr>
      </w:pPr>
    </w:p>
    <w:p w:rsidR="009E706F" w:rsidRPr="009E706F" w:rsidRDefault="009E706F" w:rsidP="009E706F">
      <w:pPr>
        <w:rPr>
          <w:b/>
        </w:rPr>
      </w:pPr>
      <w:proofErr w:type="gramStart"/>
      <w:r w:rsidRPr="009E706F">
        <w:rPr>
          <w:b/>
        </w:rPr>
        <w:t>Research Problem 1.</w:t>
      </w:r>
      <w:proofErr w:type="gramEnd"/>
    </w:p>
    <w:p w:rsidR="009E706F" w:rsidRPr="009E706F" w:rsidRDefault="009E706F" w:rsidP="009E706F">
      <w:pPr>
        <w:rPr>
          <w:b/>
        </w:rPr>
      </w:pPr>
    </w:p>
    <w:p w:rsidR="009E706F" w:rsidRPr="009E706F" w:rsidRDefault="009E706F" w:rsidP="000863CD">
      <w:pPr>
        <w:jc w:val="both"/>
      </w:pPr>
      <w:r w:rsidRPr="009E706F">
        <w:t>A PSC [as defined under § 441(i)(2)] must use the calendar year for reporting purposes, unless the PSC can establish, to the satisfaction of the IRS,  a business purpose for a fiscal year-end.    [§ 441(i</w:t>
      </w:r>
      <w:proofErr w:type="gramStart"/>
      <w:r w:rsidRPr="009E706F">
        <w:t>)(</w:t>
      </w:r>
      <w:proofErr w:type="gramEnd"/>
      <w:r w:rsidRPr="009E706F">
        <w:t>1)]  (A fiscal year can also be elected under the provisions of § 444.)  Approval of the IRS to adopt (or change to) a fiscal year under the business purpose exception is obtained by filing Form 1128, “Application to Adopt, Change, or Retain a Tax Year.” [Reg. §§ 1.441-1(c</w:t>
      </w:r>
      <w:proofErr w:type="gramStart"/>
      <w:r w:rsidRPr="009E706F">
        <w:t>)(</w:t>
      </w:r>
      <w:proofErr w:type="gramEnd"/>
      <w:r w:rsidRPr="009E706F">
        <w:t>2)(i), 1.441-3(b)(1), and 1.442-1(b)(1)]  In determining whether a PSC has established a business purpose for a fiscal year, consideration will be given to all of the facts and circumstances relating to the adoption of the fiscal year, including the tax consequences resulting from such adoption. [Reg. § 1.442-1(b</w:t>
      </w:r>
      <w:proofErr w:type="gramStart"/>
      <w:r w:rsidRPr="009E706F">
        <w:t>)(</w:t>
      </w:r>
      <w:proofErr w:type="gramEnd"/>
      <w:r w:rsidRPr="009E706F">
        <w:t>2)]</w:t>
      </w:r>
    </w:p>
    <w:p w:rsidR="009E706F" w:rsidRPr="009E706F" w:rsidRDefault="009E706F" w:rsidP="000863CD">
      <w:pPr>
        <w:jc w:val="both"/>
      </w:pPr>
    </w:p>
    <w:p w:rsidR="009E706F" w:rsidRPr="009E706F" w:rsidRDefault="009E706F" w:rsidP="000863CD">
      <w:pPr>
        <w:jc w:val="both"/>
      </w:pPr>
      <w:r w:rsidRPr="009E706F">
        <w:t>Reasons sufficient to satisfy the business purpose standard:</w:t>
      </w:r>
    </w:p>
    <w:p w:rsidR="009E706F" w:rsidRPr="009E706F" w:rsidRDefault="009E706F" w:rsidP="000863CD">
      <w:pPr>
        <w:numPr>
          <w:ilvl w:val="0"/>
          <w:numId w:val="39"/>
        </w:numPr>
        <w:jc w:val="both"/>
      </w:pPr>
      <w:r w:rsidRPr="009E706F">
        <w:t>Fiscal year coincides with the entity’s natural business year.  [Reg. § 1.442-1(b)(2)]  In general, a natural business year exists if, for each of the 3 most recent 12-month periods that end with the last month of the requested fiscal year, 25% or more of the entity’s gross receipts were derived in the last two months of such requested fiscal year.  (In addition to the 25% gross receipts test, a natural business year can also be established under the annual business cycle test and the seasonal business test.)  [</w:t>
      </w:r>
      <w:proofErr w:type="spellStart"/>
      <w:r w:rsidRPr="009E706F">
        <w:t>Rev.Proc</w:t>
      </w:r>
      <w:proofErr w:type="spellEnd"/>
      <w:r w:rsidRPr="009E706F">
        <w:t xml:space="preserve">. 2002-39, 2002-1 C.B. 1046]    In some cases, a PSC satisfying the 25% gross receipts test will be deemed to have established a  business purpose and obtain automatic IRS consent.  [See </w:t>
      </w:r>
      <w:proofErr w:type="spellStart"/>
      <w:r w:rsidRPr="009E706F">
        <w:t>Rev.Proc</w:t>
      </w:r>
      <w:proofErr w:type="spellEnd"/>
      <w:r w:rsidRPr="009E706F">
        <w:t>. 2006-46, 2006-2 C.B. 859.]</w:t>
      </w:r>
    </w:p>
    <w:p w:rsidR="009E706F" w:rsidRPr="009E706F" w:rsidRDefault="009E706F" w:rsidP="000863CD">
      <w:pPr>
        <w:jc w:val="both"/>
      </w:pPr>
    </w:p>
    <w:p w:rsidR="009E706F" w:rsidRPr="009E706F" w:rsidRDefault="009E706F" w:rsidP="000863CD">
      <w:pPr>
        <w:jc w:val="both"/>
      </w:pPr>
      <w:r w:rsidRPr="009E706F">
        <w:t xml:space="preserve">Reasons </w:t>
      </w:r>
      <w:r w:rsidRPr="009E706F">
        <w:rPr>
          <w:i/>
        </w:rPr>
        <w:t>insufficient</w:t>
      </w:r>
      <w:r w:rsidRPr="009E706F">
        <w:t xml:space="preserve"> to satisfy the business purpose standard:</w:t>
      </w:r>
    </w:p>
    <w:p w:rsidR="009E706F" w:rsidRPr="009E706F" w:rsidRDefault="009E706F" w:rsidP="000863CD">
      <w:pPr>
        <w:numPr>
          <w:ilvl w:val="0"/>
          <w:numId w:val="40"/>
        </w:numPr>
        <w:jc w:val="both"/>
      </w:pPr>
      <w:r w:rsidRPr="009E706F">
        <w:t>Deferral of income to shareholders.  [§ 441(i); Reg. § 1.442-1(b)(2)]</w:t>
      </w:r>
    </w:p>
    <w:p w:rsidR="009E706F" w:rsidRPr="009E706F" w:rsidRDefault="009E706F" w:rsidP="000863CD">
      <w:pPr>
        <w:numPr>
          <w:ilvl w:val="0"/>
          <w:numId w:val="40"/>
        </w:numPr>
        <w:jc w:val="both"/>
      </w:pPr>
      <w:r w:rsidRPr="009E706F">
        <w:t>The use of a particular year for regulatory or financial accounting purposes;</w:t>
      </w:r>
    </w:p>
    <w:p w:rsidR="009E706F" w:rsidRPr="009E706F" w:rsidRDefault="009E706F" w:rsidP="000863CD">
      <w:pPr>
        <w:numPr>
          <w:ilvl w:val="0"/>
          <w:numId w:val="40"/>
        </w:numPr>
        <w:jc w:val="both"/>
      </w:pPr>
      <w:r w:rsidRPr="009E706F">
        <w:t>The hiring patterns of a particular business;</w:t>
      </w:r>
    </w:p>
    <w:p w:rsidR="009E706F" w:rsidRPr="009E706F" w:rsidRDefault="009E706F" w:rsidP="000863CD">
      <w:pPr>
        <w:numPr>
          <w:ilvl w:val="0"/>
          <w:numId w:val="40"/>
        </w:numPr>
        <w:jc w:val="both"/>
      </w:pPr>
      <w:r w:rsidRPr="009E706F">
        <w:t>The use of a particular year for administrative purposes;</w:t>
      </w:r>
    </w:p>
    <w:p w:rsidR="009E706F" w:rsidRPr="009E706F" w:rsidRDefault="009E706F" w:rsidP="000863CD">
      <w:pPr>
        <w:numPr>
          <w:ilvl w:val="0"/>
          <w:numId w:val="40"/>
        </w:numPr>
        <w:jc w:val="both"/>
      </w:pPr>
      <w:r w:rsidRPr="009E706F">
        <w:t xml:space="preserve">The fact that a particular business involves the use of price lists, model years, or other items that change on an annual basis; </w:t>
      </w:r>
    </w:p>
    <w:p w:rsidR="009E706F" w:rsidRPr="009E706F" w:rsidRDefault="009E706F" w:rsidP="000863CD">
      <w:pPr>
        <w:numPr>
          <w:ilvl w:val="0"/>
          <w:numId w:val="40"/>
        </w:numPr>
        <w:jc w:val="both"/>
      </w:pPr>
      <w:r w:rsidRPr="009E706F">
        <w:t>The use of a particular year by related entities; and</w:t>
      </w:r>
    </w:p>
    <w:p w:rsidR="009E706F" w:rsidRPr="009E706F" w:rsidRDefault="009E706F" w:rsidP="000863CD">
      <w:pPr>
        <w:numPr>
          <w:ilvl w:val="0"/>
          <w:numId w:val="40"/>
        </w:numPr>
        <w:jc w:val="both"/>
      </w:pPr>
      <w:r w:rsidRPr="009E706F">
        <w:t>The use of a particular year by competitors. [Rev. Proc. 2002-39, 2002-1 C.B. 1046]</w:t>
      </w:r>
    </w:p>
    <w:p w:rsidR="009E706F" w:rsidRPr="009E706F" w:rsidRDefault="009E706F" w:rsidP="000863CD">
      <w:pPr>
        <w:jc w:val="both"/>
      </w:pPr>
    </w:p>
    <w:p w:rsidR="009E706F" w:rsidRPr="009E706F" w:rsidRDefault="009E706F" w:rsidP="000863CD">
      <w:pPr>
        <w:jc w:val="both"/>
        <w:rPr>
          <w:b/>
        </w:rPr>
      </w:pPr>
      <w:r w:rsidRPr="009E706F">
        <w:rPr>
          <w:b/>
        </w:rPr>
        <w:t>Research Problem 2</w:t>
      </w:r>
    </w:p>
    <w:p w:rsidR="00404CAC" w:rsidRDefault="00404CAC" w:rsidP="000863CD">
      <w:pPr>
        <w:jc w:val="both"/>
      </w:pPr>
    </w:p>
    <w:p w:rsidR="000A2F51" w:rsidRDefault="000A2F51" w:rsidP="000863CD">
      <w:pPr>
        <w:jc w:val="both"/>
      </w:pPr>
      <w:r w:rsidRPr="000A2F51">
        <w:t>TAX FILE MEMORANDUM</w:t>
      </w:r>
    </w:p>
    <w:p w:rsidR="000A2F51" w:rsidRPr="000A2F51" w:rsidRDefault="000A2F51" w:rsidP="000863CD">
      <w:pPr>
        <w:jc w:val="both"/>
      </w:pPr>
    </w:p>
    <w:p w:rsidR="000A2F51" w:rsidRPr="000A2F51" w:rsidRDefault="000A2F51" w:rsidP="000863CD">
      <w:pPr>
        <w:jc w:val="both"/>
      </w:pPr>
      <w:r w:rsidRPr="000A2F51">
        <w:t>DATE:</w:t>
      </w:r>
      <w:r w:rsidRPr="000A2F51">
        <w:tab/>
      </w:r>
      <w:r w:rsidRPr="000A2F51">
        <w:tab/>
        <w:t>September 17, 2013</w:t>
      </w:r>
    </w:p>
    <w:p w:rsidR="000A2F51" w:rsidRPr="000A2F51" w:rsidRDefault="000A2F51" w:rsidP="000863CD">
      <w:pPr>
        <w:jc w:val="both"/>
      </w:pPr>
      <w:r w:rsidRPr="000A2F51">
        <w:t>FROM:</w:t>
      </w:r>
      <w:r w:rsidRPr="000A2F51">
        <w:tab/>
        <w:t>Leticia Ramirez</w:t>
      </w:r>
    </w:p>
    <w:p w:rsidR="000A2F51" w:rsidRPr="000A2F51" w:rsidRDefault="000A2F51" w:rsidP="000863CD">
      <w:pPr>
        <w:jc w:val="both"/>
      </w:pPr>
      <w:r w:rsidRPr="000A2F51">
        <w:t>SUBJECT:</w:t>
      </w:r>
      <w:r w:rsidRPr="000A2F51">
        <w:tab/>
        <w:t>Startup expenditures of John’s Premium Steakhouse, Inc.</w:t>
      </w:r>
    </w:p>
    <w:p w:rsidR="000A2F51" w:rsidRPr="000A2F51" w:rsidRDefault="000A2F51" w:rsidP="000863CD">
      <w:pPr>
        <w:jc w:val="both"/>
      </w:pPr>
    </w:p>
    <w:p w:rsidR="000A2F51" w:rsidRPr="000A2F51" w:rsidRDefault="000A2F51" w:rsidP="000863CD">
      <w:pPr>
        <w:jc w:val="both"/>
      </w:pPr>
      <w:r w:rsidRPr="000A2F51">
        <w:t xml:space="preserve">Today, I talked with John Dobson regarding the tax treatment of startup expenditures related to opening of a new restaurant.  Mr. Dobson recently formed John’s Premium Steakhouse, Inc., </w:t>
      </w:r>
      <w:r w:rsidRPr="000A2F51">
        <w:lastRenderedPageBreak/>
        <w:t>with a contribution of cash in exchange for 100% of the corporation’s stock.  The corporation has since entered in leases for a building and restaurant equipment.  Mr. Dobson requested guidance on the tax treatment of the various operating expenses the corporation expects to incur prior to the opening of the restaurant.</w:t>
      </w:r>
    </w:p>
    <w:p w:rsidR="000A2F51" w:rsidRPr="000A2F51" w:rsidRDefault="000A2F51" w:rsidP="000863CD">
      <w:pPr>
        <w:jc w:val="both"/>
      </w:pPr>
    </w:p>
    <w:p w:rsidR="000A2F51" w:rsidRPr="000A2F51" w:rsidRDefault="000A2F51" w:rsidP="000863CD">
      <w:pPr>
        <w:jc w:val="both"/>
      </w:pPr>
      <w:r w:rsidRPr="000A2F51">
        <w:rPr>
          <w:b/>
        </w:rPr>
        <w:t>At issue:</w:t>
      </w:r>
      <w:r w:rsidRPr="000A2F51">
        <w:t xml:space="preserve">  What is the correct tax treatment of startup expenditures?</w:t>
      </w:r>
    </w:p>
    <w:p w:rsidR="000A2F51" w:rsidRPr="000A2F51" w:rsidRDefault="000A2F51" w:rsidP="000863CD">
      <w:pPr>
        <w:jc w:val="both"/>
      </w:pPr>
    </w:p>
    <w:p w:rsidR="000A2F51" w:rsidRPr="000A2F51" w:rsidRDefault="000A2F51" w:rsidP="000863CD">
      <w:pPr>
        <w:jc w:val="both"/>
      </w:pPr>
      <w:r w:rsidRPr="000A2F51">
        <w:rPr>
          <w:b/>
        </w:rPr>
        <w:t xml:space="preserve">Conclusion: </w:t>
      </w:r>
      <w:r w:rsidRPr="000A2F51">
        <w:t xml:space="preserve"> Section 195 governs the deductibility of startup expenditures.  Under § 195(c</w:t>
      </w:r>
      <w:proofErr w:type="gramStart"/>
      <w:r w:rsidRPr="000A2F51">
        <w:t>)(</w:t>
      </w:r>
      <w:proofErr w:type="gramEnd"/>
      <w:r w:rsidRPr="000A2F51">
        <w:t>1), “startup expenditures” include amounts paid or incurred in connection with (1) investigating the creation or acquisition of an active business or (2) creating an active business.  In addition, startup expenditures must be amounts that would be deductible as business expenses (under        § 162) if incurred in connection with the operation of an existing active business.  Startup expenditures that John’s Premium Steakhouse might incur include rent or lease expense, licensing fees, utilities, employee salaries and benefits (e.g., for training and other work performed during the pre-opening period), advertising, and food costs (e.g., testing menu items</w:t>
      </w:r>
      <w:r>
        <w:t xml:space="preserve"> </w:t>
      </w:r>
      <w:r w:rsidRPr="000A2F51">
        <w:t>during the pre-opening period).  Startup expenditures do not include amounts paid for the purchase of depreciable property.  Startup expenditures also do not include organizational expenditures, but such amounts are deductible (under § 248) in the same manner as startup expenditures.</w:t>
      </w:r>
    </w:p>
    <w:p w:rsidR="000A2F51" w:rsidRPr="000A2F51" w:rsidRDefault="000A2F51" w:rsidP="000863CD">
      <w:pPr>
        <w:jc w:val="both"/>
      </w:pPr>
    </w:p>
    <w:p w:rsidR="000A2F51" w:rsidRPr="000A2F51" w:rsidRDefault="000A2F51" w:rsidP="000863CD">
      <w:pPr>
        <w:jc w:val="both"/>
      </w:pPr>
      <w:r w:rsidRPr="000A2F51">
        <w:t>Under § 195(b), a taxpayer can elect to deduct the first $5,000 of startup expenditures and amortize the remainder of expenditures over the 180-month period beginning with the month the business begins.  The $5,000 expensing amount is reduced to the extent startup expenditures exceed $50,000.  Under Reg. § 1.195-1(b), the election to deduct startup expenditures is deemed made by claiming the proper deduction amount  on the corporation’s tax return for the year in which the business begins.  (Alternatively, the corporation can forgo the election by including with the tax return a statement that clearly indicates an election to capitalize startup expenditures.  Capitalized expenditures are deductible when the corporation ceases business and liquidates.)</w:t>
      </w:r>
    </w:p>
    <w:p w:rsidR="000A2F51" w:rsidRPr="000A2F51" w:rsidRDefault="000A2F51" w:rsidP="000863CD">
      <w:pPr>
        <w:jc w:val="both"/>
      </w:pPr>
    </w:p>
    <w:p w:rsidR="000A2F51" w:rsidRPr="000A2F51" w:rsidRDefault="000A2F51" w:rsidP="000863CD">
      <w:pPr>
        <w:jc w:val="both"/>
      </w:pPr>
      <w:r w:rsidRPr="000A2F51">
        <w:t>The determination of when a business begins is important for two reasons.  First, startup expenditures are not deductible until such time the business begins. Second, once a business has begun, the startup phase is done and further operating expenditures are deductible as trade or business expenses (under § 162).  The IRS is authorized to prescribe regulations on when a business begins under § 195, but to date no such regulations have been issued. [§ 195(c</w:t>
      </w:r>
      <w:proofErr w:type="gramStart"/>
      <w:r w:rsidRPr="000A2F51">
        <w:t>)(</w:t>
      </w:r>
      <w:proofErr w:type="gramEnd"/>
      <w:r w:rsidRPr="000A2F51">
        <w:t>2)(A).] However, the deduction for organizational expenditures has the same commencement of business requirement [see § 248(a)], and Reg. § 1.248-1(d) provides that a “corporation begins business when it starts the business operations for which it was organized.”  Further, the courts have</w:t>
      </w:r>
    </w:p>
    <w:p w:rsidR="000A2F51" w:rsidRPr="000A2F51" w:rsidRDefault="000A2F51" w:rsidP="000863CD">
      <w:pPr>
        <w:jc w:val="both"/>
      </w:pPr>
      <w:r w:rsidRPr="000A2F51">
        <w:t xml:space="preserve">held that for purposes of § 195, a taxpayer is not engaged in an business until such time the business has begun to operate as a going concern and performed the activities for which it was formed.  See, </w:t>
      </w:r>
      <w:r w:rsidRPr="000A2F51">
        <w:rPr>
          <w:i/>
        </w:rPr>
        <w:t>Richmond Television Corp. v. U.S.</w:t>
      </w:r>
      <w:r w:rsidRPr="000A2F51">
        <w:t xml:space="preserve">, 65-1 USTC ¶9395, 15 AFTR2d 880, 345 F.2d 901 (CA-4, 1965), vacated and remanded on other grounds, 86 </w:t>
      </w:r>
      <w:proofErr w:type="spellStart"/>
      <w:r w:rsidRPr="000A2F51">
        <w:t>S.Ct</w:t>
      </w:r>
      <w:proofErr w:type="spellEnd"/>
      <w:r w:rsidRPr="000A2F51">
        <w:t xml:space="preserve">. 233 (USSC, 1965); and </w:t>
      </w:r>
      <w:r w:rsidRPr="000A2F51">
        <w:rPr>
          <w:i/>
        </w:rPr>
        <w:t xml:space="preserve">Yuri G. </w:t>
      </w:r>
      <w:proofErr w:type="spellStart"/>
      <w:r w:rsidRPr="000A2F51">
        <w:rPr>
          <w:i/>
        </w:rPr>
        <w:t>Glotov</w:t>
      </w:r>
      <w:proofErr w:type="spellEnd"/>
      <w:r w:rsidRPr="000A2F51">
        <w:t xml:space="preserve">, 93 TCM 1339, </w:t>
      </w:r>
      <w:proofErr w:type="spellStart"/>
      <w:r w:rsidRPr="000A2F51">
        <w:t>T.C.Memo</w:t>
      </w:r>
      <w:proofErr w:type="spellEnd"/>
      <w:r w:rsidRPr="000A2F51">
        <w:t xml:space="preserve"> 2007-147.  In the case of John’s Premium Steakhouse, the startup phase would terminate and the active business would commence when the restaurant begins serving meals to customers in the normal course of business.</w:t>
      </w:r>
    </w:p>
    <w:p w:rsidR="009E706F" w:rsidRPr="009E706F" w:rsidRDefault="009E706F" w:rsidP="000863CD">
      <w:pPr>
        <w:jc w:val="both"/>
      </w:pPr>
    </w:p>
    <w:p w:rsidR="009E706F" w:rsidRDefault="009E706F" w:rsidP="000863CD">
      <w:pPr>
        <w:jc w:val="both"/>
      </w:pPr>
    </w:p>
    <w:p w:rsidR="000A2F51" w:rsidRPr="009E706F" w:rsidRDefault="000A2F51" w:rsidP="000863CD">
      <w:pPr>
        <w:jc w:val="both"/>
      </w:pPr>
    </w:p>
    <w:p w:rsidR="009E706F" w:rsidRPr="009E706F" w:rsidRDefault="009E706F" w:rsidP="000863CD">
      <w:pPr>
        <w:jc w:val="both"/>
        <w:rPr>
          <w:b/>
        </w:rPr>
      </w:pPr>
      <w:r w:rsidRPr="009E706F">
        <w:rPr>
          <w:b/>
        </w:rPr>
        <w:t>Research Problem 3</w:t>
      </w:r>
    </w:p>
    <w:p w:rsidR="000A2F51" w:rsidRDefault="000A2F51" w:rsidP="000863CD">
      <w:pPr>
        <w:jc w:val="both"/>
      </w:pPr>
    </w:p>
    <w:p w:rsidR="009E706F" w:rsidRPr="009E706F" w:rsidRDefault="009E706F" w:rsidP="000863CD">
      <w:pPr>
        <w:jc w:val="both"/>
      </w:pPr>
      <w:r w:rsidRPr="009E706F">
        <w:t>TAX FILE MEMORANDUM</w:t>
      </w:r>
    </w:p>
    <w:p w:rsidR="009E706F" w:rsidRPr="009E706F" w:rsidRDefault="009E706F" w:rsidP="000863CD">
      <w:pPr>
        <w:jc w:val="both"/>
      </w:pPr>
    </w:p>
    <w:p w:rsidR="009E706F" w:rsidRPr="009E706F" w:rsidRDefault="009E706F" w:rsidP="000863CD">
      <w:pPr>
        <w:jc w:val="both"/>
      </w:pPr>
      <w:r w:rsidRPr="009E706F">
        <w:t>Date:</w:t>
      </w:r>
      <w:r w:rsidRPr="009E706F">
        <w:tab/>
      </w:r>
      <w:r w:rsidRPr="009E706F">
        <w:tab/>
        <w:t>May 2, 201</w:t>
      </w:r>
      <w:r w:rsidR="000A2F51">
        <w:t>3</w:t>
      </w:r>
    </w:p>
    <w:p w:rsidR="009E706F" w:rsidRPr="009E706F" w:rsidRDefault="009E706F" w:rsidP="000863CD">
      <w:pPr>
        <w:jc w:val="both"/>
      </w:pPr>
      <w:r w:rsidRPr="009E706F">
        <w:t>From:</w:t>
      </w:r>
      <w:r w:rsidRPr="009E706F">
        <w:tab/>
      </w:r>
      <w:r w:rsidRPr="009E706F">
        <w:tab/>
        <w:t>Jonathan Smith</w:t>
      </w:r>
    </w:p>
    <w:p w:rsidR="009E706F" w:rsidRPr="009E706F" w:rsidRDefault="009E706F" w:rsidP="000863CD">
      <w:pPr>
        <w:jc w:val="both"/>
      </w:pPr>
      <w:r w:rsidRPr="009E706F">
        <w:t>Subject:</w:t>
      </w:r>
      <w:r w:rsidRPr="009E706F">
        <w:tab/>
        <w:t>Tern Corporation</w:t>
      </w:r>
    </w:p>
    <w:p w:rsidR="009E706F" w:rsidRPr="009E706F" w:rsidRDefault="009E706F" w:rsidP="000863CD">
      <w:pPr>
        <w:jc w:val="both"/>
        <w:rPr>
          <w:b/>
        </w:rPr>
      </w:pPr>
    </w:p>
    <w:p w:rsidR="009E706F" w:rsidRPr="009E706F" w:rsidRDefault="009E706F" w:rsidP="000863CD">
      <w:pPr>
        <w:jc w:val="both"/>
        <w:rPr>
          <w:b/>
        </w:rPr>
      </w:pPr>
      <w:r w:rsidRPr="009E706F">
        <w:rPr>
          <w:b/>
        </w:rPr>
        <w:t>Facts:</w:t>
      </w:r>
      <w:r w:rsidRPr="009E706F">
        <w:t xml:space="preserve">  Tern Corporation, a calendar year C Corporation, is solely owned by Jessica Ramirez. Tern’s only business since its incorporation in 2009 has been land surveying services. In Tern’s state of incorporation, land surveying can be performed only by a licensed surveyor. Jessica, Tern’s only employee, is a licensed surveyor. Jessica is not a licensed en</w:t>
      </w:r>
      <w:r w:rsidR="000A2F51">
        <w:t>gineer. Upon audit of Tern’s 2010</w:t>
      </w:r>
      <w:r w:rsidRPr="009E706F">
        <w:t xml:space="preserve"> and 201</w:t>
      </w:r>
      <w:r w:rsidR="000A2F51">
        <w:t>1</w:t>
      </w:r>
      <w:r w:rsidRPr="009E706F">
        <w:t xml:space="preserve"> tax returns, the IRS asserted tax deficiencies stemming from its conclusion that the corporation was a personal service corporation subject to the flat tax rate of 35%. Jessica believes that the IRS’s determination is incorrect and she has requested advice on how to proceed.</w:t>
      </w:r>
      <w:r w:rsidRPr="009E706F">
        <w:rPr>
          <w:b/>
        </w:rPr>
        <w:t xml:space="preserve"> </w:t>
      </w:r>
    </w:p>
    <w:p w:rsidR="009E706F" w:rsidRPr="009E706F" w:rsidRDefault="009E706F" w:rsidP="000863CD">
      <w:pPr>
        <w:jc w:val="both"/>
        <w:rPr>
          <w:b/>
        </w:rPr>
      </w:pPr>
    </w:p>
    <w:p w:rsidR="009E706F" w:rsidRPr="009E706F" w:rsidRDefault="009E706F" w:rsidP="000863CD">
      <w:pPr>
        <w:jc w:val="both"/>
      </w:pPr>
      <w:r w:rsidRPr="009E706F">
        <w:rPr>
          <w:b/>
        </w:rPr>
        <w:t>At issue:</w:t>
      </w:r>
      <w:r w:rsidRPr="009E706F">
        <w:t xml:space="preserve">  Is Tern Corporation a personal service corporation under § 448(d</w:t>
      </w:r>
      <w:proofErr w:type="gramStart"/>
      <w:r w:rsidRPr="009E706F">
        <w:t>)(</w:t>
      </w:r>
      <w:proofErr w:type="gramEnd"/>
      <w:r w:rsidRPr="009E706F">
        <w:t>2) and therefore subject to the flat tax rate of 35?</w:t>
      </w:r>
    </w:p>
    <w:p w:rsidR="009E706F" w:rsidRPr="009E706F" w:rsidRDefault="009E706F" w:rsidP="000863CD">
      <w:pPr>
        <w:jc w:val="both"/>
      </w:pPr>
    </w:p>
    <w:p w:rsidR="009E706F" w:rsidRPr="009E706F" w:rsidRDefault="009E706F" w:rsidP="000863CD">
      <w:pPr>
        <w:jc w:val="both"/>
      </w:pPr>
      <w:r w:rsidRPr="009E706F">
        <w:rPr>
          <w:b/>
        </w:rPr>
        <w:t>Conclusion:</w:t>
      </w:r>
      <w:r w:rsidRPr="009E706F">
        <w:t xml:space="preserve">  Section 11(b</w:t>
      </w:r>
      <w:proofErr w:type="gramStart"/>
      <w:r w:rsidRPr="009E706F">
        <w:t>)(</w:t>
      </w:r>
      <w:proofErr w:type="gramEnd"/>
      <w:r w:rsidRPr="009E706F">
        <w:t>2) provides that the taxable income of a qualified personal service corporation, as defined in § 448(d)(2), is subject to a flat tax rate of 35%. Under § 448(d</w:t>
      </w:r>
      <w:proofErr w:type="gramStart"/>
      <w:r w:rsidRPr="009E706F">
        <w:t>)(</w:t>
      </w:r>
      <w:proofErr w:type="gramEnd"/>
      <w:r w:rsidRPr="009E706F">
        <w:t>2), a “qualified personal service corporation” means any corporation that satisfies both a function test and an ownership test. The function test requires that “substantially all of the activities” of the corporation involve the performance of services in one of eight specified fields, including engineering. [§ 448(d</w:t>
      </w:r>
      <w:proofErr w:type="gramStart"/>
      <w:r w:rsidRPr="009E706F">
        <w:t>)(</w:t>
      </w:r>
      <w:proofErr w:type="gramEnd"/>
      <w:r w:rsidRPr="009E706F">
        <w:t>2)(A).]  The ownership test requires, in general, that substantially all of the stock of the corporation is owned by employees (or retired employees) performing services for the corporation. [§ 448(d</w:t>
      </w:r>
      <w:proofErr w:type="gramStart"/>
      <w:r w:rsidRPr="009E706F">
        <w:t>)(</w:t>
      </w:r>
      <w:proofErr w:type="gramEnd"/>
      <w:r w:rsidRPr="009E706F">
        <w:t>2)(B).]  Since Jessica owns 100% of Tern Corporation and is the corporation’s only employee, the ownership test is not in question.</w:t>
      </w:r>
    </w:p>
    <w:p w:rsidR="009E706F" w:rsidRPr="009E706F" w:rsidRDefault="009E706F" w:rsidP="000863CD">
      <w:pPr>
        <w:jc w:val="both"/>
      </w:pPr>
    </w:p>
    <w:p w:rsidR="009E706F" w:rsidRPr="009E706F" w:rsidRDefault="009E706F" w:rsidP="000863CD">
      <w:pPr>
        <w:jc w:val="both"/>
        <w:rPr>
          <w:b/>
        </w:rPr>
      </w:pPr>
      <w:r w:rsidRPr="009E706F">
        <w:t>Temp. Reg. § 1.448-</w:t>
      </w:r>
      <w:proofErr w:type="gramStart"/>
      <w:r w:rsidRPr="009E706F">
        <w:t>1T(</w:t>
      </w:r>
      <w:proofErr w:type="gramEnd"/>
      <w:r w:rsidRPr="009E706F">
        <w:t>e)(4)(i) provides that the field of engineering includes surveying. Further, the provision notes that the “substantially all of the activities” requirement is satisfied if 95% or more of the time spent by employees of the corporation is devoted to the performance services in a designated field (e.g., engineering). Thus, Tern is a personal service corporation as defined under Temp. Reg. § 1.448-</w:t>
      </w:r>
      <w:proofErr w:type="gramStart"/>
      <w:r w:rsidRPr="009E706F">
        <w:t>1T(</w:t>
      </w:r>
      <w:proofErr w:type="gramEnd"/>
      <w:r w:rsidRPr="009E706F">
        <w:t>e)(4)(i).  In a recent case directly on point with our facts, a corporate taxpayer in the business of land surveying was held to be a personal service corporation as defined by § 448(d</w:t>
      </w:r>
      <w:proofErr w:type="gramStart"/>
      <w:r w:rsidRPr="009E706F">
        <w:t>)(</w:t>
      </w:r>
      <w:proofErr w:type="gramEnd"/>
      <w:r w:rsidRPr="009E706F">
        <w:t xml:space="preserve">2).  In </w:t>
      </w:r>
      <w:proofErr w:type="spellStart"/>
      <w:r w:rsidRPr="009E706F">
        <w:rPr>
          <w:i/>
        </w:rPr>
        <w:t>Kraatz</w:t>
      </w:r>
      <w:proofErr w:type="spellEnd"/>
      <w:r w:rsidRPr="009E706F">
        <w:rPr>
          <w:i/>
        </w:rPr>
        <w:t xml:space="preserve"> &amp; Craig Surveying Inc.</w:t>
      </w:r>
      <w:r w:rsidRPr="009E706F">
        <w:t xml:space="preserve"> [134 T.C. 167 (2010)], the taxpayer argued that Temp. Reg. § 1.448-</w:t>
      </w:r>
      <w:proofErr w:type="gramStart"/>
      <w:r w:rsidRPr="009E706F">
        <w:t>1T(</w:t>
      </w:r>
      <w:proofErr w:type="gramEnd"/>
      <w:r w:rsidRPr="009E706F">
        <w:t xml:space="preserve">e)(4)(i) was invalid in that it included surveying in the engineering field.  The Tax Court rejected that argument, however, by noting, in part, that the underlying legislative language supported the regulation’s interpretation. </w:t>
      </w:r>
      <w:proofErr w:type="gramStart"/>
      <w:r w:rsidRPr="009E706F">
        <w:t>[See, e.g., H. Rep. No. 99-841, 99</w:t>
      </w:r>
      <w:r w:rsidRPr="009E706F">
        <w:rPr>
          <w:vertAlign w:val="superscript"/>
        </w:rPr>
        <w:t>th</w:t>
      </w:r>
      <w:r w:rsidRPr="009E706F">
        <w:t xml:space="preserve"> Cong., 2d Sess., 1986, p. 285.]</w:t>
      </w:r>
      <w:proofErr w:type="gramEnd"/>
      <w:r w:rsidRPr="009E706F">
        <w:t xml:space="preserve">  [The Tax Court also rejected the taxpayer’s argument that state law is determinative of what is included in the field of engineering for purposes of § 448(d</w:t>
      </w:r>
      <w:proofErr w:type="gramStart"/>
      <w:r w:rsidRPr="009E706F">
        <w:t>)(</w:t>
      </w:r>
      <w:proofErr w:type="gramEnd"/>
      <w:r w:rsidRPr="009E706F">
        <w:t xml:space="preserve">2).] Thus, the IRS’s determination that Tern Corporation is a personal service corporation subject to the flat tax of 35% is correct and the tax deficiency should be paid. </w:t>
      </w:r>
      <w:r w:rsidRPr="009E706F">
        <w:lastRenderedPageBreak/>
        <w:t>In the future, an attempt should be made to reduce or eliminate Tern’s taxable income through increased compensation payments to Jessica.</w:t>
      </w:r>
    </w:p>
    <w:p w:rsidR="009E706F" w:rsidRPr="009E706F" w:rsidRDefault="009E706F" w:rsidP="000863CD">
      <w:pPr>
        <w:jc w:val="both"/>
      </w:pPr>
    </w:p>
    <w:p w:rsidR="009E706F" w:rsidRPr="009E706F" w:rsidRDefault="009E706F" w:rsidP="000863CD">
      <w:pPr>
        <w:jc w:val="both"/>
        <w:rPr>
          <w:b/>
        </w:rPr>
      </w:pPr>
      <w:r w:rsidRPr="009E706F">
        <w:rPr>
          <w:b/>
        </w:rPr>
        <w:t>Research Problems 4 through 6</w:t>
      </w:r>
    </w:p>
    <w:p w:rsidR="009E706F" w:rsidRPr="009E706F" w:rsidRDefault="009E706F" w:rsidP="000863CD">
      <w:pPr>
        <w:jc w:val="both"/>
        <w:rPr>
          <w:b/>
        </w:rPr>
      </w:pPr>
    </w:p>
    <w:p w:rsidR="009E706F" w:rsidRPr="009E706F" w:rsidRDefault="009E706F" w:rsidP="000863CD">
      <w:pPr>
        <w:jc w:val="both"/>
      </w:pPr>
      <w:r w:rsidRPr="009E706F">
        <w:t>These problems require that the student access various sites on the Internet. Thus, each student’s solution likely will vary from that of the others.</w:t>
      </w:r>
    </w:p>
    <w:p w:rsidR="009E706F" w:rsidRPr="009E706F" w:rsidRDefault="009E706F" w:rsidP="000863CD">
      <w:pPr>
        <w:jc w:val="both"/>
      </w:pPr>
    </w:p>
    <w:p w:rsidR="009E706F" w:rsidRPr="009E706F" w:rsidRDefault="009E706F" w:rsidP="000863CD">
      <w:pPr>
        <w:jc w:val="both"/>
      </w:pPr>
      <w:r w:rsidRPr="009E706F">
        <w:t>You should determine the skill and experience levels of the students before making the assignment, coaching them where necessary so as to broaden the scope of the exercise to the entire available electronic world.</w:t>
      </w:r>
    </w:p>
    <w:p w:rsidR="009E706F" w:rsidRPr="009E706F" w:rsidRDefault="009E706F" w:rsidP="000863CD">
      <w:pPr>
        <w:jc w:val="both"/>
      </w:pPr>
    </w:p>
    <w:p w:rsidR="009E706F" w:rsidRPr="009E706F" w:rsidRDefault="009E706F" w:rsidP="000863CD">
      <w:pPr>
        <w:jc w:val="both"/>
      </w:pPr>
      <w:r w:rsidRPr="009E706F">
        <w:t>Make certain that you encourage students to explore all parts of the Web in this process, including the key tax sites, but also information found through the home pages of newspapers, magazines, businesses, tax professionals, government agencies, political outlets, and so on. They should work with Internet resources other than the Web as well, including newsgroups and other interest-oriented lists.</w:t>
      </w:r>
    </w:p>
    <w:p w:rsidR="009E706F" w:rsidRPr="009E706F" w:rsidRDefault="009E706F" w:rsidP="000863CD">
      <w:pPr>
        <w:jc w:val="both"/>
      </w:pPr>
    </w:p>
    <w:p w:rsidR="009E706F" w:rsidRPr="009E706F" w:rsidRDefault="009E706F" w:rsidP="000863CD">
      <w:pPr>
        <w:jc w:val="both"/>
        <w:rPr>
          <w:b/>
          <w:u w:val="single"/>
        </w:rPr>
      </w:pPr>
      <w:r w:rsidRPr="009E706F">
        <w:t>Build interaction into exercises wherever possible, asking the student to send and receive e-mail in a professional and responsible manner.</w:t>
      </w:r>
    </w:p>
    <w:p w:rsidR="009E706F" w:rsidRPr="009E706F" w:rsidRDefault="009E706F" w:rsidP="009E706F"/>
    <w:p w:rsidR="009E706F" w:rsidRDefault="009E706F">
      <w:pPr>
        <w:rPr>
          <w:b/>
          <w:szCs w:val="20"/>
        </w:rPr>
      </w:pPr>
    </w:p>
    <w:p w:rsidR="009E706F" w:rsidRDefault="009E706F" w:rsidP="00447755">
      <w:pPr>
        <w:pStyle w:val="centeringpage"/>
        <w:spacing w:line="240" w:lineRule="exact"/>
        <w:jc w:val="left"/>
        <w:rPr>
          <w:rFonts w:ascii="Times New Roman" w:hAnsi="Times New Roman"/>
          <w:sz w:val="24"/>
        </w:rPr>
        <w:sectPr w:rsidR="009E706F" w:rsidSect="00447755">
          <w:headerReference w:type="even" r:id="rId9"/>
          <w:headerReference w:type="default" r:id="rId10"/>
          <w:footerReference w:type="even" r:id="rId11"/>
          <w:footerReference w:type="default" r:id="rId12"/>
          <w:footerReference w:type="first" r:id="rId13"/>
          <w:footnotePr>
            <w:numRestart w:val="eachSect"/>
          </w:footnotePr>
          <w:type w:val="continuous"/>
          <w:pgSz w:w="12240" w:h="15840" w:code="1"/>
          <w:pgMar w:top="1440" w:right="1080" w:bottom="1440" w:left="1800" w:header="720" w:footer="720" w:gutter="0"/>
          <w:cols w:space="720"/>
          <w:noEndnote/>
          <w:titlePg/>
          <w:docGrid w:linePitch="326"/>
        </w:sectPr>
      </w:pPr>
    </w:p>
    <w:p w:rsidR="00775555" w:rsidRPr="00987201" w:rsidRDefault="00775555" w:rsidP="00447755">
      <w:pPr>
        <w:pStyle w:val="centeringpage"/>
        <w:spacing w:line="240" w:lineRule="exact"/>
        <w:jc w:val="left"/>
        <w:rPr>
          <w:b w:val="0"/>
          <w:spacing w:val="-4"/>
          <w:u w:val="single"/>
        </w:rPr>
      </w:pPr>
    </w:p>
    <w:sectPr w:rsidR="00775555" w:rsidRPr="00987201" w:rsidSect="00447755">
      <w:headerReference w:type="default" r:id="rId14"/>
      <w:footnotePr>
        <w:numRestart w:val="eachSect"/>
      </w:footnotePr>
      <w:type w:val="continuous"/>
      <w:pgSz w:w="12240" w:h="15840" w:code="1"/>
      <w:pgMar w:top="1440" w:right="1080" w:bottom="1440" w:left="1800"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4FE1" w:rsidRDefault="005C4FE1">
      <w:r>
        <w:separator/>
      </w:r>
    </w:p>
  </w:endnote>
  <w:endnote w:type="continuationSeparator" w:id="0">
    <w:p w:rsidR="005C4FE1" w:rsidRDefault="005C4F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7755" w:rsidRPr="00610108" w:rsidRDefault="00447755" w:rsidP="00610108">
    <w:pPr>
      <w:pStyle w:val="Footer"/>
      <w:jc w:val="center"/>
      <w:rPr>
        <w:rFonts w:ascii="Arial Narrow" w:hAnsi="Arial Narrow"/>
        <w:sz w:val="16"/>
        <w:szCs w:val="16"/>
      </w:rPr>
    </w:pPr>
    <w:r w:rsidRPr="00615C9A">
      <w:rPr>
        <w:rFonts w:ascii="Arial Narrow" w:hAnsi="Arial Narrow" w:cs="ArialMT"/>
        <w:sz w:val="16"/>
        <w:szCs w:val="16"/>
      </w:rPr>
      <w:t>©</w:t>
    </w:r>
    <w:r>
      <w:rPr>
        <w:rFonts w:ascii="Arial Narrow" w:hAnsi="Arial Narrow" w:cs="ArialMT"/>
        <w:sz w:val="16"/>
        <w:szCs w:val="16"/>
      </w:rPr>
      <w:t xml:space="preserve"> 201</w:t>
    </w:r>
    <w:r w:rsidR="00E34D87">
      <w:rPr>
        <w:rFonts w:ascii="Arial Narrow" w:hAnsi="Arial Narrow" w:cs="ArialMT"/>
        <w:sz w:val="16"/>
        <w:szCs w:val="16"/>
      </w:rPr>
      <w:t>4</w:t>
    </w:r>
    <w:r w:rsidRPr="00615C9A">
      <w:rPr>
        <w:rFonts w:ascii="Arial Narrow" w:hAnsi="Arial Narrow" w:cs="ArialMT"/>
        <w:sz w:val="16"/>
        <w:szCs w:val="16"/>
      </w:rPr>
      <w:t xml:space="preserve"> Cengage Learning. All Rights Reserved. May not be scanned, copied or duplicated, or posted to a publicly accessible website, in whole or in part.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7755" w:rsidRPr="00610108" w:rsidRDefault="00447755" w:rsidP="00610108">
    <w:pPr>
      <w:pStyle w:val="Footer"/>
      <w:jc w:val="center"/>
      <w:rPr>
        <w:rFonts w:ascii="Arial Narrow" w:hAnsi="Arial Narrow"/>
        <w:sz w:val="16"/>
        <w:szCs w:val="16"/>
      </w:rPr>
    </w:pPr>
    <w:r w:rsidRPr="00615C9A">
      <w:rPr>
        <w:rFonts w:ascii="Arial Narrow" w:hAnsi="Arial Narrow" w:cs="ArialMT"/>
        <w:sz w:val="16"/>
        <w:szCs w:val="16"/>
      </w:rPr>
      <w:t>© 201</w:t>
    </w:r>
    <w:r w:rsidR="00E34D87">
      <w:rPr>
        <w:rFonts w:ascii="Arial Narrow" w:hAnsi="Arial Narrow" w:cs="ArialMT"/>
        <w:sz w:val="16"/>
        <w:szCs w:val="16"/>
      </w:rPr>
      <w:t>4</w:t>
    </w:r>
    <w:r w:rsidRPr="00615C9A">
      <w:rPr>
        <w:rFonts w:ascii="Arial Narrow" w:hAnsi="Arial Narrow" w:cs="ArialMT"/>
        <w:sz w:val="16"/>
        <w:szCs w:val="16"/>
      </w:rPr>
      <w:t xml:space="preserve"> Cengage Learning. All Rights Reserved. May not be scanned, copied or duplicated, or posted to a publicly accessible website, in whole or in part.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7755" w:rsidRDefault="00447755">
    <w:pPr>
      <w:pStyle w:val="Footer"/>
      <w:rPr>
        <w:b/>
      </w:rPr>
    </w:pPr>
    <w:r>
      <w:tab/>
    </w:r>
    <w:r w:rsidRPr="000B40FB">
      <w:rPr>
        <w:b/>
      </w:rPr>
      <w:t>2-1</w:t>
    </w:r>
  </w:p>
  <w:p w:rsidR="00447755" w:rsidRPr="00610108" w:rsidRDefault="00447755" w:rsidP="00610108">
    <w:pPr>
      <w:pStyle w:val="Footer"/>
      <w:jc w:val="center"/>
      <w:rPr>
        <w:rFonts w:ascii="Arial Narrow" w:hAnsi="Arial Narrow"/>
        <w:sz w:val="16"/>
        <w:szCs w:val="16"/>
      </w:rPr>
    </w:pPr>
    <w:r>
      <w:rPr>
        <w:rFonts w:ascii="Arial Narrow" w:hAnsi="Arial Narrow" w:cs="ArialMT"/>
        <w:sz w:val="16"/>
        <w:szCs w:val="16"/>
      </w:rPr>
      <w:t>© 20</w:t>
    </w:r>
    <w:r w:rsidRPr="00615C9A">
      <w:rPr>
        <w:rFonts w:ascii="Arial Narrow" w:hAnsi="Arial Narrow" w:cs="ArialMT"/>
        <w:sz w:val="16"/>
        <w:szCs w:val="16"/>
      </w:rPr>
      <w:t>1</w:t>
    </w:r>
    <w:r w:rsidR="00E34D87">
      <w:rPr>
        <w:rFonts w:ascii="Arial Narrow" w:hAnsi="Arial Narrow" w:cs="ArialMT"/>
        <w:sz w:val="16"/>
        <w:szCs w:val="16"/>
      </w:rPr>
      <w:t>4</w:t>
    </w:r>
    <w:r w:rsidRPr="00615C9A">
      <w:rPr>
        <w:rFonts w:ascii="Arial Narrow" w:hAnsi="Arial Narrow" w:cs="ArialMT"/>
        <w:sz w:val="16"/>
        <w:szCs w:val="16"/>
      </w:rPr>
      <w:t xml:space="preserve"> Cengage Learning. All Rights Reserved. May not be scanned, copied or duplicated, or posted to a publicly accessible website, in whole or in part.</w:t>
    </w:r>
    <w:r w:rsidRPr="000B40FB">
      <w:rPr>
        <w:b/>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4FE1" w:rsidRDefault="005C4FE1">
      <w:r>
        <w:separator/>
      </w:r>
    </w:p>
  </w:footnote>
  <w:footnote w:type="continuationSeparator" w:id="0">
    <w:p w:rsidR="005C4FE1" w:rsidRDefault="005C4F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5DC9" w:rsidRPr="00C752A2" w:rsidRDefault="00E05DC9" w:rsidP="00E05DC9">
    <w:pPr>
      <w:pStyle w:val="Header"/>
    </w:pPr>
    <w:r>
      <w:rPr>
        <w:b/>
      </w:rPr>
      <w:t>2-</w:t>
    </w:r>
    <w:r>
      <w:rPr>
        <w:b/>
      </w:rPr>
      <w:pgNum/>
    </w:r>
    <w:r>
      <w:rPr>
        <w:b/>
      </w:rPr>
      <w:tab/>
      <w:t xml:space="preserve">   </w:t>
    </w:r>
    <w:r>
      <w:rPr>
        <w:rStyle w:val="PageNumber"/>
        <w:b/>
      </w:rPr>
      <w:t>SWFT 2014: Corp., Part., Est. &amp; Trusts/Instructor’s Guide with Lecture Notes</w:t>
    </w:r>
  </w:p>
  <w:p w:rsidR="005100B7" w:rsidRDefault="005100B7" w:rsidP="005100B7">
    <w:pPr>
      <w:tabs>
        <w:tab w:val="center" w:pos="4680"/>
        <w:tab w:val="right" w:pos="9360"/>
      </w:tabs>
    </w:pPr>
    <w:r>
      <w:rPr>
        <w:rStyle w:val="PageNumber"/>
        <w:b/>
      </w:rPr>
      <w:tab/>
    </w:r>
  </w:p>
  <w:p w:rsidR="00447755" w:rsidRDefault="0044775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7755" w:rsidRDefault="00447755">
    <w:pPr>
      <w:tabs>
        <w:tab w:val="center" w:pos="4680"/>
        <w:tab w:val="right" w:pos="9360"/>
      </w:tabs>
      <w:spacing w:line="240" w:lineRule="exact"/>
      <w:rPr>
        <w:b/>
      </w:rPr>
    </w:pPr>
    <w:r>
      <w:rPr>
        <w:b/>
      </w:rPr>
      <w:tab/>
    </w:r>
    <w:r w:rsidR="005100B7">
      <w:rPr>
        <w:b/>
      </w:rPr>
      <w:t>Chapter 2 –</w:t>
    </w:r>
    <w:r w:rsidR="0002740E">
      <w:rPr>
        <w:b/>
      </w:rPr>
      <w:t xml:space="preserve"> </w:t>
    </w:r>
    <w:r w:rsidR="005100B7">
      <w:rPr>
        <w:b/>
      </w:rPr>
      <w:t>Corporations: Introduction and Operating Rules</w:t>
    </w:r>
    <w:r w:rsidR="005100B7">
      <w:rPr>
        <w:rStyle w:val="PageNumber"/>
        <w:b/>
      </w:rPr>
      <w:tab/>
      <w:t>2-</w:t>
    </w:r>
    <w:r w:rsidR="005100B7">
      <w:rPr>
        <w:rStyle w:val="PageNumber"/>
        <w:b/>
      </w:rPr>
      <w:fldChar w:fldCharType="begin"/>
    </w:r>
    <w:r w:rsidR="005100B7">
      <w:rPr>
        <w:rStyle w:val="PageNumber"/>
        <w:b/>
      </w:rPr>
      <w:instrText xml:space="preserve"> PAGE </w:instrText>
    </w:r>
    <w:r w:rsidR="005100B7">
      <w:rPr>
        <w:rStyle w:val="PageNumber"/>
        <w:b/>
      </w:rPr>
      <w:fldChar w:fldCharType="separate"/>
    </w:r>
    <w:r w:rsidR="00DF7775">
      <w:rPr>
        <w:rStyle w:val="PageNumber"/>
        <w:b/>
        <w:noProof/>
      </w:rPr>
      <w:t>17</w:t>
    </w:r>
    <w:r w:rsidR="005100B7">
      <w:rPr>
        <w:rStyle w:val="PageNumber"/>
        <w:b/>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4128" w:rsidRDefault="007F4128">
    <w:pPr>
      <w:tabs>
        <w:tab w:val="center" w:pos="4680"/>
        <w:tab w:val="right" w:pos="9360"/>
      </w:tabs>
      <w:spacing w:line="240" w:lineRule="exact"/>
    </w:pPr>
    <w:r>
      <w:rPr>
        <w:rStyle w:val="PageNumber"/>
        <w:b/>
      </w:rPr>
      <w:tab/>
      <w:t>Chapter 2 - Solutions to Research Problems</w:t>
    </w:r>
    <w:r>
      <w:rPr>
        <w:rStyle w:val="PageNumber"/>
        <w:b/>
      </w:rPr>
      <w:tab/>
      <w:t>2-</w:t>
    </w:r>
    <w:r>
      <w:rPr>
        <w:rStyle w:val="PageNumber"/>
        <w:b/>
      </w:rPr>
      <w:fldChar w:fldCharType="begin"/>
    </w:r>
    <w:r>
      <w:rPr>
        <w:rStyle w:val="PageNumber"/>
        <w:b/>
      </w:rPr>
      <w:instrText xml:space="preserve"> PAGE </w:instrText>
    </w:r>
    <w:r>
      <w:rPr>
        <w:rStyle w:val="PageNumber"/>
        <w:b/>
      </w:rPr>
      <w:fldChar w:fldCharType="separate"/>
    </w:r>
    <w:r w:rsidR="00A76E7C">
      <w:rPr>
        <w:rStyle w:val="PageNumber"/>
        <w:b/>
        <w:noProof/>
      </w:rPr>
      <w:t>15</w:t>
    </w:r>
    <w:r>
      <w:rPr>
        <w:rStyle w:val="PageNumber"/>
        <w:b/>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4E74490"/>
    <w:multiLevelType w:val="singleLevel"/>
    <w:tmpl w:val="05D2C39E"/>
    <w:lvl w:ilvl="0">
      <w:start w:val="1"/>
      <w:numFmt w:val="bullet"/>
      <w:lvlText w:val=""/>
      <w:lvlJc w:val="left"/>
      <w:pPr>
        <w:tabs>
          <w:tab w:val="num" w:pos="1800"/>
        </w:tabs>
        <w:ind w:left="1080" w:firstLine="360"/>
      </w:pPr>
      <w:rPr>
        <w:rFonts w:ascii="Symbol" w:hAnsi="Symbol" w:hint="default"/>
      </w:rPr>
    </w:lvl>
  </w:abstractNum>
  <w:abstractNum w:abstractNumId="2">
    <w:nsid w:val="059D1229"/>
    <w:multiLevelType w:val="singleLevel"/>
    <w:tmpl w:val="4468B36C"/>
    <w:lvl w:ilvl="0">
      <w:start w:val="1"/>
      <w:numFmt w:val="bullet"/>
      <w:lvlText w:val=""/>
      <w:lvlJc w:val="left"/>
      <w:pPr>
        <w:tabs>
          <w:tab w:val="num" w:pos="1080"/>
        </w:tabs>
        <w:ind w:left="1080" w:hanging="360"/>
      </w:pPr>
      <w:rPr>
        <w:rFonts w:ascii="Symbol" w:hAnsi="Symbol" w:hint="default"/>
      </w:rPr>
    </w:lvl>
  </w:abstractNum>
  <w:abstractNum w:abstractNumId="3">
    <w:nsid w:val="08BA7CA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nsid w:val="0B2079AF"/>
    <w:multiLevelType w:val="hybridMultilevel"/>
    <w:tmpl w:val="E00855F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nsid w:val="13585DBD"/>
    <w:multiLevelType w:val="multilevel"/>
    <w:tmpl w:val="F1CEF01C"/>
    <w:lvl w:ilvl="0">
      <w:start w:val="1"/>
      <w:numFmt w:val="bullet"/>
      <w:lvlText w:val=""/>
      <w:lvlJc w:val="left"/>
      <w:pPr>
        <w:tabs>
          <w:tab w:val="num" w:pos="1620"/>
        </w:tabs>
        <w:ind w:left="1620" w:hanging="360"/>
      </w:pPr>
      <w:rPr>
        <w:rFonts w:ascii="Symbol" w:hAnsi="Symbol" w:hint="default"/>
      </w:rPr>
    </w:lvl>
    <w:lvl w:ilvl="1">
      <w:start w:val="1"/>
      <w:numFmt w:val="lowerLetter"/>
      <w:lvlText w:val="%2."/>
      <w:lvlJc w:val="left"/>
      <w:pPr>
        <w:tabs>
          <w:tab w:val="num" w:pos="2340"/>
        </w:tabs>
        <w:ind w:left="2340" w:hanging="360"/>
      </w:pPr>
    </w:lvl>
    <w:lvl w:ilvl="2">
      <w:start w:val="1"/>
      <w:numFmt w:val="lowerRoman"/>
      <w:lvlText w:val="%3."/>
      <w:lvlJc w:val="right"/>
      <w:pPr>
        <w:tabs>
          <w:tab w:val="num" w:pos="3060"/>
        </w:tabs>
        <w:ind w:left="3060" w:hanging="180"/>
      </w:pPr>
    </w:lvl>
    <w:lvl w:ilvl="3">
      <w:start w:val="1"/>
      <w:numFmt w:val="decimal"/>
      <w:lvlText w:val="%4."/>
      <w:lvlJc w:val="left"/>
      <w:pPr>
        <w:tabs>
          <w:tab w:val="num" w:pos="3780"/>
        </w:tabs>
        <w:ind w:left="3780" w:hanging="360"/>
      </w:pPr>
    </w:lvl>
    <w:lvl w:ilvl="4">
      <w:start w:val="1"/>
      <w:numFmt w:val="lowerLetter"/>
      <w:lvlText w:val="%5."/>
      <w:lvlJc w:val="left"/>
      <w:pPr>
        <w:tabs>
          <w:tab w:val="num" w:pos="4500"/>
        </w:tabs>
        <w:ind w:left="4500" w:hanging="360"/>
      </w:pPr>
    </w:lvl>
    <w:lvl w:ilvl="5">
      <w:start w:val="1"/>
      <w:numFmt w:val="lowerRoman"/>
      <w:lvlText w:val="%6."/>
      <w:lvlJc w:val="right"/>
      <w:pPr>
        <w:tabs>
          <w:tab w:val="num" w:pos="5220"/>
        </w:tabs>
        <w:ind w:left="5220" w:hanging="180"/>
      </w:pPr>
    </w:lvl>
    <w:lvl w:ilvl="6">
      <w:start w:val="1"/>
      <w:numFmt w:val="decimal"/>
      <w:lvlText w:val="%7."/>
      <w:lvlJc w:val="left"/>
      <w:pPr>
        <w:tabs>
          <w:tab w:val="num" w:pos="5940"/>
        </w:tabs>
        <w:ind w:left="5940" w:hanging="360"/>
      </w:pPr>
    </w:lvl>
    <w:lvl w:ilvl="7">
      <w:start w:val="1"/>
      <w:numFmt w:val="lowerLetter"/>
      <w:lvlText w:val="%8."/>
      <w:lvlJc w:val="left"/>
      <w:pPr>
        <w:tabs>
          <w:tab w:val="num" w:pos="6660"/>
        </w:tabs>
        <w:ind w:left="6660" w:hanging="360"/>
      </w:pPr>
    </w:lvl>
    <w:lvl w:ilvl="8">
      <w:start w:val="1"/>
      <w:numFmt w:val="lowerRoman"/>
      <w:lvlText w:val="%9."/>
      <w:lvlJc w:val="right"/>
      <w:pPr>
        <w:tabs>
          <w:tab w:val="num" w:pos="7380"/>
        </w:tabs>
        <w:ind w:left="7380" w:hanging="180"/>
      </w:pPr>
    </w:lvl>
  </w:abstractNum>
  <w:abstractNum w:abstractNumId="6">
    <w:nsid w:val="18D42F0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1B9C701F"/>
    <w:multiLevelType w:val="hybridMultilevel"/>
    <w:tmpl w:val="8F9A818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DE3579F"/>
    <w:multiLevelType w:val="hybridMultilevel"/>
    <w:tmpl w:val="A2E0DD1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F5A6ACD"/>
    <w:multiLevelType w:val="hybridMultilevel"/>
    <w:tmpl w:val="1CE840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05F19C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2AEE32C4"/>
    <w:multiLevelType w:val="hybridMultilevel"/>
    <w:tmpl w:val="681429FA"/>
    <w:lvl w:ilvl="0" w:tplc="05B8B0B4">
      <w:start w:val="1"/>
      <w:numFmt w:val="bullet"/>
      <w:lvlText w:val=""/>
      <w:lvlJc w:val="left"/>
      <w:pPr>
        <w:tabs>
          <w:tab w:val="num" w:pos="648"/>
        </w:tabs>
        <w:ind w:left="720" w:firstLine="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C876809"/>
    <w:multiLevelType w:val="singleLevel"/>
    <w:tmpl w:val="F4B8BC08"/>
    <w:lvl w:ilvl="0">
      <w:start w:val="2"/>
      <w:numFmt w:val="lowerLetter"/>
      <w:lvlText w:val="%1."/>
      <w:lvlJc w:val="left"/>
      <w:pPr>
        <w:tabs>
          <w:tab w:val="num" w:pos="1290"/>
        </w:tabs>
        <w:ind w:left="1290" w:hanging="570"/>
      </w:pPr>
      <w:rPr>
        <w:rFonts w:hint="default"/>
      </w:rPr>
    </w:lvl>
  </w:abstractNum>
  <w:abstractNum w:abstractNumId="13">
    <w:nsid w:val="311075AF"/>
    <w:multiLevelType w:val="singleLevel"/>
    <w:tmpl w:val="362234BE"/>
    <w:lvl w:ilvl="0">
      <w:start w:val="1"/>
      <w:numFmt w:val="decimal"/>
      <w:lvlText w:val="%1."/>
      <w:lvlJc w:val="left"/>
      <w:pPr>
        <w:tabs>
          <w:tab w:val="num" w:pos="1800"/>
        </w:tabs>
        <w:ind w:left="1800" w:hanging="360"/>
      </w:pPr>
      <w:rPr>
        <w:rFonts w:hint="default"/>
      </w:rPr>
    </w:lvl>
  </w:abstractNum>
  <w:abstractNum w:abstractNumId="14">
    <w:nsid w:val="32EE22D2"/>
    <w:multiLevelType w:val="hybridMultilevel"/>
    <w:tmpl w:val="F1CEF01C"/>
    <w:lvl w:ilvl="0" w:tplc="F962B516">
      <w:start w:val="1"/>
      <w:numFmt w:val="bullet"/>
      <w:lvlText w:val=""/>
      <w:lvlJc w:val="left"/>
      <w:pPr>
        <w:tabs>
          <w:tab w:val="num" w:pos="1620"/>
        </w:tabs>
        <w:ind w:left="1620" w:hanging="360"/>
      </w:pPr>
      <w:rPr>
        <w:rFonts w:ascii="Symbol" w:hAnsi="Symbol" w:hint="default"/>
      </w:rPr>
    </w:lvl>
    <w:lvl w:ilvl="1" w:tplc="9A72AF48" w:tentative="1">
      <w:start w:val="1"/>
      <w:numFmt w:val="lowerLetter"/>
      <w:lvlText w:val="%2."/>
      <w:lvlJc w:val="left"/>
      <w:pPr>
        <w:tabs>
          <w:tab w:val="num" w:pos="2340"/>
        </w:tabs>
        <w:ind w:left="2340" w:hanging="360"/>
      </w:pPr>
    </w:lvl>
    <w:lvl w:ilvl="2" w:tplc="C8F4C20E" w:tentative="1">
      <w:start w:val="1"/>
      <w:numFmt w:val="lowerRoman"/>
      <w:lvlText w:val="%3."/>
      <w:lvlJc w:val="right"/>
      <w:pPr>
        <w:tabs>
          <w:tab w:val="num" w:pos="3060"/>
        </w:tabs>
        <w:ind w:left="3060" w:hanging="180"/>
      </w:pPr>
    </w:lvl>
    <w:lvl w:ilvl="3" w:tplc="4D5AF88E" w:tentative="1">
      <w:start w:val="1"/>
      <w:numFmt w:val="decimal"/>
      <w:lvlText w:val="%4."/>
      <w:lvlJc w:val="left"/>
      <w:pPr>
        <w:tabs>
          <w:tab w:val="num" w:pos="3780"/>
        </w:tabs>
        <w:ind w:left="3780" w:hanging="360"/>
      </w:pPr>
    </w:lvl>
    <w:lvl w:ilvl="4" w:tplc="19E4B7E4" w:tentative="1">
      <w:start w:val="1"/>
      <w:numFmt w:val="lowerLetter"/>
      <w:lvlText w:val="%5."/>
      <w:lvlJc w:val="left"/>
      <w:pPr>
        <w:tabs>
          <w:tab w:val="num" w:pos="4500"/>
        </w:tabs>
        <w:ind w:left="4500" w:hanging="360"/>
      </w:pPr>
    </w:lvl>
    <w:lvl w:ilvl="5" w:tplc="2F485904" w:tentative="1">
      <w:start w:val="1"/>
      <w:numFmt w:val="lowerRoman"/>
      <w:lvlText w:val="%6."/>
      <w:lvlJc w:val="right"/>
      <w:pPr>
        <w:tabs>
          <w:tab w:val="num" w:pos="5220"/>
        </w:tabs>
        <w:ind w:left="5220" w:hanging="180"/>
      </w:pPr>
    </w:lvl>
    <w:lvl w:ilvl="6" w:tplc="5FF84BD6" w:tentative="1">
      <w:start w:val="1"/>
      <w:numFmt w:val="decimal"/>
      <w:lvlText w:val="%7."/>
      <w:lvlJc w:val="left"/>
      <w:pPr>
        <w:tabs>
          <w:tab w:val="num" w:pos="5940"/>
        </w:tabs>
        <w:ind w:left="5940" w:hanging="360"/>
      </w:pPr>
    </w:lvl>
    <w:lvl w:ilvl="7" w:tplc="E2162868" w:tentative="1">
      <w:start w:val="1"/>
      <w:numFmt w:val="lowerLetter"/>
      <w:lvlText w:val="%8."/>
      <w:lvlJc w:val="left"/>
      <w:pPr>
        <w:tabs>
          <w:tab w:val="num" w:pos="6660"/>
        </w:tabs>
        <w:ind w:left="6660" w:hanging="360"/>
      </w:pPr>
    </w:lvl>
    <w:lvl w:ilvl="8" w:tplc="75083612" w:tentative="1">
      <w:start w:val="1"/>
      <w:numFmt w:val="lowerRoman"/>
      <w:lvlText w:val="%9."/>
      <w:lvlJc w:val="right"/>
      <w:pPr>
        <w:tabs>
          <w:tab w:val="num" w:pos="7380"/>
        </w:tabs>
        <w:ind w:left="7380" w:hanging="180"/>
      </w:pPr>
    </w:lvl>
  </w:abstractNum>
  <w:abstractNum w:abstractNumId="15">
    <w:nsid w:val="33CF3B60"/>
    <w:multiLevelType w:val="hybridMultilevel"/>
    <w:tmpl w:val="37CC09E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nsid w:val="36115E88"/>
    <w:multiLevelType w:val="multilevel"/>
    <w:tmpl w:val="F1CEF01C"/>
    <w:lvl w:ilvl="0">
      <w:start w:val="1"/>
      <w:numFmt w:val="bullet"/>
      <w:lvlText w:val=""/>
      <w:lvlJc w:val="left"/>
      <w:pPr>
        <w:tabs>
          <w:tab w:val="num" w:pos="1620"/>
        </w:tabs>
        <w:ind w:left="1620" w:hanging="360"/>
      </w:pPr>
      <w:rPr>
        <w:rFonts w:ascii="Symbol" w:hAnsi="Symbol" w:hint="default"/>
      </w:rPr>
    </w:lvl>
    <w:lvl w:ilvl="1">
      <w:start w:val="1"/>
      <w:numFmt w:val="lowerLetter"/>
      <w:lvlText w:val="%2."/>
      <w:lvlJc w:val="left"/>
      <w:pPr>
        <w:tabs>
          <w:tab w:val="num" w:pos="2340"/>
        </w:tabs>
        <w:ind w:left="2340" w:hanging="360"/>
      </w:pPr>
    </w:lvl>
    <w:lvl w:ilvl="2">
      <w:start w:val="1"/>
      <w:numFmt w:val="lowerRoman"/>
      <w:lvlText w:val="%3."/>
      <w:lvlJc w:val="right"/>
      <w:pPr>
        <w:tabs>
          <w:tab w:val="num" w:pos="3060"/>
        </w:tabs>
        <w:ind w:left="3060" w:hanging="180"/>
      </w:pPr>
    </w:lvl>
    <w:lvl w:ilvl="3">
      <w:start w:val="1"/>
      <w:numFmt w:val="decimal"/>
      <w:lvlText w:val="%4."/>
      <w:lvlJc w:val="left"/>
      <w:pPr>
        <w:tabs>
          <w:tab w:val="num" w:pos="3780"/>
        </w:tabs>
        <w:ind w:left="3780" w:hanging="360"/>
      </w:pPr>
    </w:lvl>
    <w:lvl w:ilvl="4">
      <w:start w:val="1"/>
      <w:numFmt w:val="lowerLetter"/>
      <w:lvlText w:val="%5."/>
      <w:lvlJc w:val="left"/>
      <w:pPr>
        <w:tabs>
          <w:tab w:val="num" w:pos="4500"/>
        </w:tabs>
        <w:ind w:left="4500" w:hanging="360"/>
      </w:pPr>
    </w:lvl>
    <w:lvl w:ilvl="5">
      <w:start w:val="1"/>
      <w:numFmt w:val="lowerRoman"/>
      <w:lvlText w:val="%6."/>
      <w:lvlJc w:val="right"/>
      <w:pPr>
        <w:tabs>
          <w:tab w:val="num" w:pos="5220"/>
        </w:tabs>
        <w:ind w:left="5220" w:hanging="180"/>
      </w:pPr>
    </w:lvl>
    <w:lvl w:ilvl="6">
      <w:start w:val="1"/>
      <w:numFmt w:val="decimal"/>
      <w:lvlText w:val="%7."/>
      <w:lvlJc w:val="left"/>
      <w:pPr>
        <w:tabs>
          <w:tab w:val="num" w:pos="5940"/>
        </w:tabs>
        <w:ind w:left="5940" w:hanging="360"/>
      </w:pPr>
    </w:lvl>
    <w:lvl w:ilvl="7">
      <w:start w:val="1"/>
      <w:numFmt w:val="lowerLetter"/>
      <w:lvlText w:val="%8."/>
      <w:lvlJc w:val="left"/>
      <w:pPr>
        <w:tabs>
          <w:tab w:val="num" w:pos="6660"/>
        </w:tabs>
        <w:ind w:left="6660" w:hanging="360"/>
      </w:pPr>
    </w:lvl>
    <w:lvl w:ilvl="8">
      <w:start w:val="1"/>
      <w:numFmt w:val="lowerRoman"/>
      <w:lvlText w:val="%9."/>
      <w:lvlJc w:val="right"/>
      <w:pPr>
        <w:tabs>
          <w:tab w:val="num" w:pos="7380"/>
        </w:tabs>
        <w:ind w:left="7380" w:hanging="180"/>
      </w:pPr>
    </w:lvl>
  </w:abstractNum>
  <w:abstractNum w:abstractNumId="17">
    <w:nsid w:val="39EC4F5B"/>
    <w:multiLevelType w:val="hybridMultilevel"/>
    <w:tmpl w:val="3DEA8AAE"/>
    <w:lvl w:ilvl="0" w:tplc="05B8B0B4">
      <w:start w:val="1"/>
      <w:numFmt w:val="bullet"/>
      <w:lvlText w:val=""/>
      <w:lvlJc w:val="left"/>
      <w:pPr>
        <w:tabs>
          <w:tab w:val="num" w:pos="1368"/>
        </w:tabs>
        <w:ind w:left="1440" w:firstLine="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8">
    <w:nsid w:val="3EE8090A"/>
    <w:multiLevelType w:val="singleLevel"/>
    <w:tmpl w:val="05D2C39E"/>
    <w:lvl w:ilvl="0">
      <w:start w:val="1"/>
      <w:numFmt w:val="bullet"/>
      <w:lvlText w:val=""/>
      <w:lvlJc w:val="left"/>
      <w:pPr>
        <w:tabs>
          <w:tab w:val="num" w:pos="1800"/>
        </w:tabs>
        <w:ind w:left="1080" w:firstLine="360"/>
      </w:pPr>
      <w:rPr>
        <w:rFonts w:ascii="Symbol" w:hAnsi="Symbol" w:hint="default"/>
      </w:rPr>
    </w:lvl>
  </w:abstractNum>
  <w:abstractNum w:abstractNumId="19">
    <w:nsid w:val="499A4F82"/>
    <w:multiLevelType w:val="hybridMultilevel"/>
    <w:tmpl w:val="0352982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0">
    <w:nsid w:val="4A5148F7"/>
    <w:multiLevelType w:val="hybridMultilevel"/>
    <w:tmpl w:val="C61485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D311A6C"/>
    <w:multiLevelType w:val="singleLevel"/>
    <w:tmpl w:val="D08E7DCC"/>
    <w:lvl w:ilvl="0">
      <w:start w:val="1"/>
      <w:numFmt w:val="bullet"/>
      <w:lvlText w:val=""/>
      <w:lvlJc w:val="left"/>
      <w:pPr>
        <w:tabs>
          <w:tab w:val="num" w:pos="720"/>
        </w:tabs>
        <w:ind w:left="720" w:hanging="360"/>
      </w:pPr>
      <w:rPr>
        <w:rFonts w:ascii="Symbol" w:hAnsi="Symbol" w:hint="default"/>
        <w:sz w:val="24"/>
      </w:rPr>
    </w:lvl>
  </w:abstractNum>
  <w:abstractNum w:abstractNumId="22">
    <w:nsid w:val="50E246AD"/>
    <w:multiLevelType w:val="hybridMultilevel"/>
    <w:tmpl w:val="154C64C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55560891"/>
    <w:multiLevelType w:val="hybridMultilevel"/>
    <w:tmpl w:val="CB60C716"/>
    <w:lvl w:ilvl="0" w:tplc="EE90BC54">
      <w:start w:val="1"/>
      <w:numFmt w:val="bullet"/>
      <w:lvlText w:val=""/>
      <w:lvlJc w:val="left"/>
      <w:pPr>
        <w:tabs>
          <w:tab w:val="num" w:pos="1620"/>
        </w:tabs>
        <w:ind w:left="1620" w:hanging="360"/>
      </w:pPr>
      <w:rPr>
        <w:rFonts w:ascii="Symbol" w:hAnsi="Symbol" w:hint="default"/>
        <w:sz w:val="24"/>
        <w:szCs w:val="24"/>
      </w:rPr>
    </w:lvl>
    <w:lvl w:ilvl="1" w:tplc="8BC21EBA" w:tentative="1">
      <w:start w:val="1"/>
      <w:numFmt w:val="lowerLetter"/>
      <w:lvlText w:val="%2."/>
      <w:lvlJc w:val="left"/>
      <w:pPr>
        <w:tabs>
          <w:tab w:val="num" w:pos="2340"/>
        </w:tabs>
        <w:ind w:left="2340" w:hanging="360"/>
      </w:pPr>
    </w:lvl>
    <w:lvl w:ilvl="2" w:tplc="09BE2954" w:tentative="1">
      <w:start w:val="1"/>
      <w:numFmt w:val="lowerRoman"/>
      <w:lvlText w:val="%3."/>
      <w:lvlJc w:val="right"/>
      <w:pPr>
        <w:tabs>
          <w:tab w:val="num" w:pos="3060"/>
        </w:tabs>
        <w:ind w:left="3060" w:hanging="180"/>
      </w:pPr>
    </w:lvl>
    <w:lvl w:ilvl="3" w:tplc="F68874D0" w:tentative="1">
      <w:start w:val="1"/>
      <w:numFmt w:val="decimal"/>
      <w:lvlText w:val="%4."/>
      <w:lvlJc w:val="left"/>
      <w:pPr>
        <w:tabs>
          <w:tab w:val="num" w:pos="3780"/>
        </w:tabs>
        <w:ind w:left="3780" w:hanging="360"/>
      </w:pPr>
    </w:lvl>
    <w:lvl w:ilvl="4" w:tplc="AB961F76" w:tentative="1">
      <w:start w:val="1"/>
      <w:numFmt w:val="lowerLetter"/>
      <w:lvlText w:val="%5."/>
      <w:lvlJc w:val="left"/>
      <w:pPr>
        <w:tabs>
          <w:tab w:val="num" w:pos="4500"/>
        </w:tabs>
        <w:ind w:left="4500" w:hanging="360"/>
      </w:pPr>
    </w:lvl>
    <w:lvl w:ilvl="5" w:tplc="41AA649E" w:tentative="1">
      <w:start w:val="1"/>
      <w:numFmt w:val="lowerRoman"/>
      <w:lvlText w:val="%6."/>
      <w:lvlJc w:val="right"/>
      <w:pPr>
        <w:tabs>
          <w:tab w:val="num" w:pos="5220"/>
        </w:tabs>
        <w:ind w:left="5220" w:hanging="180"/>
      </w:pPr>
    </w:lvl>
    <w:lvl w:ilvl="6" w:tplc="6024BA38" w:tentative="1">
      <w:start w:val="1"/>
      <w:numFmt w:val="decimal"/>
      <w:lvlText w:val="%7."/>
      <w:lvlJc w:val="left"/>
      <w:pPr>
        <w:tabs>
          <w:tab w:val="num" w:pos="5940"/>
        </w:tabs>
        <w:ind w:left="5940" w:hanging="360"/>
      </w:pPr>
    </w:lvl>
    <w:lvl w:ilvl="7" w:tplc="A4A86878" w:tentative="1">
      <w:start w:val="1"/>
      <w:numFmt w:val="lowerLetter"/>
      <w:lvlText w:val="%8."/>
      <w:lvlJc w:val="left"/>
      <w:pPr>
        <w:tabs>
          <w:tab w:val="num" w:pos="6660"/>
        </w:tabs>
        <w:ind w:left="6660" w:hanging="360"/>
      </w:pPr>
    </w:lvl>
    <w:lvl w:ilvl="8" w:tplc="4088F4AC" w:tentative="1">
      <w:start w:val="1"/>
      <w:numFmt w:val="lowerRoman"/>
      <w:lvlText w:val="%9."/>
      <w:lvlJc w:val="right"/>
      <w:pPr>
        <w:tabs>
          <w:tab w:val="num" w:pos="7380"/>
        </w:tabs>
        <w:ind w:left="7380" w:hanging="180"/>
      </w:pPr>
    </w:lvl>
  </w:abstractNum>
  <w:abstractNum w:abstractNumId="24">
    <w:nsid w:val="5A384D1B"/>
    <w:multiLevelType w:val="hybridMultilevel"/>
    <w:tmpl w:val="74BA8CE0"/>
    <w:lvl w:ilvl="0" w:tplc="05B8B0B4">
      <w:start w:val="1"/>
      <w:numFmt w:val="bullet"/>
      <w:lvlText w:val=""/>
      <w:lvlJc w:val="left"/>
      <w:pPr>
        <w:tabs>
          <w:tab w:val="num" w:pos="2088"/>
        </w:tabs>
        <w:ind w:left="2160" w:firstLine="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5">
    <w:nsid w:val="5AD73D92"/>
    <w:multiLevelType w:val="singleLevel"/>
    <w:tmpl w:val="860E323E"/>
    <w:lvl w:ilvl="0">
      <w:start w:val="5"/>
      <w:numFmt w:val="lowerLetter"/>
      <w:lvlText w:val="%1."/>
      <w:lvlJc w:val="left"/>
      <w:pPr>
        <w:tabs>
          <w:tab w:val="num" w:pos="1440"/>
        </w:tabs>
        <w:ind w:left="1440" w:hanging="720"/>
      </w:pPr>
      <w:rPr>
        <w:rFonts w:hint="default"/>
      </w:rPr>
    </w:lvl>
  </w:abstractNum>
  <w:abstractNum w:abstractNumId="26">
    <w:nsid w:val="5C4C24AF"/>
    <w:multiLevelType w:val="hybridMultilevel"/>
    <w:tmpl w:val="2FA8AA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5F8655FD"/>
    <w:multiLevelType w:val="singleLevel"/>
    <w:tmpl w:val="10F294EA"/>
    <w:lvl w:ilvl="0">
      <w:start w:val="1"/>
      <w:numFmt w:val="lowerRoman"/>
      <w:lvlText w:val="%1."/>
      <w:lvlJc w:val="left"/>
      <w:pPr>
        <w:tabs>
          <w:tab w:val="num" w:pos="2160"/>
        </w:tabs>
        <w:ind w:left="2160" w:hanging="720"/>
      </w:pPr>
      <w:rPr>
        <w:rFonts w:hint="default"/>
      </w:rPr>
    </w:lvl>
  </w:abstractNum>
  <w:abstractNum w:abstractNumId="28">
    <w:nsid w:val="60712391"/>
    <w:multiLevelType w:val="hybridMultilevel"/>
    <w:tmpl w:val="452629D6"/>
    <w:lvl w:ilvl="0" w:tplc="05B8B0B4">
      <w:start w:val="1"/>
      <w:numFmt w:val="bullet"/>
      <w:lvlText w:val=""/>
      <w:lvlJc w:val="left"/>
      <w:pPr>
        <w:tabs>
          <w:tab w:val="num" w:pos="2808"/>
        </w:tabs>
        <w:ind w:left="2880" w:firstLine="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29">
    <w:nsid w:val="633C3027"/>
    <w:multiLevelType w:val="multilevel"/>
    <w:tmpl w:val="0D5E4B22"/>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0">
    <w:nsid w:val="636024E9"/>
    <w:multiLevelType w:val="hybridMultilevel"/>
    <w:tmpl w:val="4FD068D2"/>
    <w:lvl w:ilvl="0" w:tplc="5AFE239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64BB2267"/>
    <w:multiLevelType w:val="hybridMultilevel"/>
    <w:tmpl w:val="AB880CD0"/>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2">
    <w:nsid w:val="651D577F"/>
    <w:multiLevelType w:val="hybridMultilevel"/>
    <w:tmpl w:val="B9DCC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5431511"/>
    <w:multiLevelType w:val="singleLevel"/>
    <w:tmpl w:val="C1568660"/>
    <w:lvl w:ilvl="0">
      <w:start w:val="1"/>
      <w:numFmt w:val="decimal"/>
      <w:lvlText w:val="%1."/>
      <w:lvlJc w:val="left"/>
      <w:pPr>
        <w:tabs>
          <w:tab w:val="num" w:pos="900"/>
        </w:tabs>
        <w:ind w:left="900" w:hanging="360"/>
      </w:pPr>
      <w:rPr>
        <w:rFonts w:hint="default"/>
      </w:rPr>
    </w:lvl>
  </w:abstractNum>
  <w:abstractNum w:abstractNumId="34">
    <w:nsid w:val="6EE646C1"/>
    <w:multiLevelType w:val="hybridMultilevel"/>
    <w:tmpl w:val="1D42C866"/>
    <w:lvl w:ilvl="0" w:tplc="A7560992">
      <w:start w:val="1"/>
      <w:numFmt w:val="bullet"/>
      <w:lvlText w:val=""/>
      <w:lvlJc w:val="left"/>
      <w:pPr>
        <w:tabs>
          <w:tab w:val="num" w:pos="1620"/>
        </w:tabs>
        <w:ind w:left="1620" w:hanging="360"/>
      </w:pPr>
      <w:rPr>
        <w:rFonts w:ascii="Symbol" w:hAnsi="Symbol" w:hint="default"/>
        <w:sz w:val="24"/>
        <w:szCs w:val="24"/>
      </w:rPr>
    </w:lvl>
    <w:lvl w:ilvl="1" w:tplc="A97A1966">
      <w:start w:val="1"/>
      <w:numFmt w:val="bullet"/>
      <w:lvlText w:val=""/>
      <w:lvlJc w:val="left"/>
      <w:pPr>
        <w:tabs>
          <w:tab w:val="num" w:pos="2340"/>
        </w:tabs>
        <w:ind w:left="2340" w:hanging="360"/>
      </w:pPr>
      <w:rPr>
        <w:rFonts w:ascii="Symbol" w:hAnsi="Symbol" w:hint="default"/>
        <w:sz w:val="24"/>
        <w:szCs w:val="24"/>
      </w:rPr>
    </w:lvl>
    <w:lvl w:ilvl="2" w:tplc="CF4C19DE" w:tentative="1">
      <w:start w:val="1"/>
      <w:numFmt w:val="lowerRoman"/>
      <w:lvlText w:val="%3."/>
      <w:lvlJc w:val="right"/>
      <w:pPr>
        <w:tabs>
          <w:tab w:val="num" w:pos="3060"/>
        </w:tabs>
        <w:ind w:left="3060" w:hanging="180"/>
      </w:pPr>
    </w:lvl>
    <w:lvl w:ilvl="3" w:tplc="D062F0C2" w:tentative="1">
      <w:start w:val="1"/>
      <w:numFmt w:val="decimal"/>
      <w:lvlText w:val="%4."/>
      <w:lvlJc w:val="left"/>
      <w:pPr>
        <w:tabs>
          <w:tab w:val="num" w:pos="3780"/>
        </w:tabs>
        <w:ind w:left="3780" w:hanging="360"/>
      </w:pPr>
    </w:lvl>
    <w:lvl w:ilvl="4" w:tplc="D382CE78" w:tentative="1">
      <w:start w:val="1"/>
      <w:numFmt w:val="lowerLetter"/>
      <w:lvlText w:val="%5."/>
      <w:lvlJc w:val="left"/>
      <w:pPr>
        <w:tabs>
          <w:tab w:val="num" w:pos="4500"/>
        </w:tabs>
        <w:ind w:left="4500" w:hanging="360"/>
      </w:pPr>
    </w:lvl>
    <w:lvl w:ilvl="5" w:tplc="6EF4E612" w:tentative="1">
      <w:start w:val="1"/>
      <w:numFmt w:val="lowerRoman"/>
      <w:lvlText w:val="%6."/>
      <w:lvlJc w:val="right"/>
      <w:pPr>
        <w:tabs>
          <w:tab w:val="num" w:pos="5220"/>
        </w:tabs>
        <w:ind w:left="5220" w:hanging="180"/>
      </w:pPr>
    </w:lvl>
    <w:lvl w:ilvl="6" w:tplc="EFB0F8D6" w:tentative="1">
      <w:start w:val="1"/>
      <w:numFmt w:val="decimal"/>
      <w:lvlText w:val="%7."/>
      <w:lvlJc w:val="left"/>
      <w:pPr>
        <w:tabs>
          <w:tab w:val="num" w:pos="5940"/>
        </w:tabs>
        <w:ind w:left="5940" w:hanging="360"/>
      </w:pPr>
    </w:lvl>
    <w:lvl w:ilvl="7" w:tplc="F4040240" w:tentative="1">
      <w:start w:val="1"/>
      <w:numFmt w:val="lowerLetter"/>
      <w:lvlText w:val="%8."/>
      <w:lvlJc w:val="left"/>
      <w:pPr>
        <w:tabs>
          <w:tab w:val="num" w:pos="6660"/>
        </w:tabs>
        <w:ind w:left="6660" w:hanging="360"/>
      </w:pPr>
    </w:lvl>
    <w:lvl w:ilvl="8" w:tplc="CE620568" w:tentative="1">
      <w:start w:val="1"/>
      <w:numFmt w:val="lowerRoman"/>
      <w:lvlText w:val="%9."/>
      <w:lvlJc w:val="right"/>
      <w:pPr>
        <w:tabs>
          <w:tab w:val="num" w:pos="7380"/>
        </w:tabs>
        <w:ind w:left="7380" w:hanging="180"/>
      </w:pPr>
    </w:lvl>
  </w:abstractNum>
  <w:abstractNum w:abstractNumId="35">
    <w:nsid w:val="6F1E218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nsid w:val="71CC6732"/>
    <w:multiLevelType w:val="hybridMultilevel"/>
    <w:tmpl w:val="59407284"/>
    <w:lvl w:ilvl="0" w:tplc="05B8B0B4">
      <w:start w:val="1"/>
      <w:numFmt w:val="bullet"/>
      <w:lvlText w:val=""/>
      <w:lvlJc w:val="left"/>
      <w:pPr>
        <w:tabs>
          <w:tab w:val="num" w:pos="2088"/>
        </w:tabs>
        <w:ind w:left="2160" w:firstLine="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37">
    <w:nsid w:val="72B670FC"/>
    <w:multiLevelType w:val="singleLevel"/>
    <w:tmpl w:val="4468B36C"/>
    <w:lvl w:ilvl="0">
      <w:start w:val="1"/>
      <w:numFmt w:val="bullet"/>
      <w:lvlText w:val=""/>
      <w:lvlJc w:val="left"/>
      <w:pPr>
        <w:tabs>
          <w:tab w:val="num" w:pos="1080"/>
        </w:tabs>
        <w:ind w:left="1080" w:hanging="360"/>
      </w:pPr>
      <w:rPr>
        <w:rFonts w:ascii="Symbol" w:hAnsi="Symbol" w:hint="default"/>
      </w:rPr>
    </w:lvl>
  </w:abstractNum>
  <w:abstractNum w:abstractNumId="38">
    <w:nsid w:val="7A3063FB"/>
    <w:multiLevelType w:val="singleLevel"/>
    <w:tmpl w:val="A672F2B2"/>
    <w:lvl w:ilvl="0">
      <w:start w:val="1"/>
      <w:numFmt w:val="lowerLetter"/>
      <w:lvlText w:val="%1."/>
      <w:lvlJc w:val="left"/>
      <w:pPr>
        <w:tabs>
          <w:tab w:val="num" w:pos="1290"/>
        </w:tabs>
        <w:ind w:left="1290" w:hanging="570"/>
      </w:pPr>
      <w:rPr>
        <w:rFonts w:hint="default"/>
      </w:rPr>
    </w:lvl>
  </w:abstractNum>
  <w:abstractNum w:abstractNumId="39">
    <w:nsid w:val="7C4A0591"/>
    <w:multiLevelType w:val="hybridMultilevel"/>
    <w:tmpl w:val="55806C52"/>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num w:numId="1">
    <w:abstractNumId w:val="0"/>
    <w:lvlOverride w:ilvl="0">
      <w:lvl w:ilvl="0">
        <w:start w:val="1"/>
        <w:numFmt w:val="bullet"/>
        <w:lvlText w:val=""/>
        <w:legacy w:legacy="1" w:legacySpace="0" w:legacyIndent="360"/>
        <w:lvlJc w:val="left"/>
        <w:pPr>
          <w:ind w:left="1080" w:hanging="360"/>
        </w:pPr>
        <w:rPr>
          <w:rFonts w:ascii="Symbol" w:hAnsi="Symbol" w:hint="default"/>
        </w:rPr>
      </w:lvl>
    </w:lvlOverride>
  </w:num>
  <w:num w:numId="2">
    <w:abstractNumId w:val="12"/>
  </w:num>
  <w:num w:numId="3">
    <w:abstractNumId w:val="38"/>
  </w:num>
  <w:num w:numId="4">
    <w:abstractNumId w:val="10"/>
  </w:num>
  <w:num w:numId="5">
    <w:abstractNumId w:val="6"/>
  </w:num>
  <w:num w:numId="6">
    <w:abstractNumId w:val="3"/>
  </w:num>
  <w:num w:numId="7">
    <w:abstractNumId w:val="35"/>
  </w:num>
  <w:num w:numId="8">
    <w:abstractNumId w:val="33"/>
  </w:num>
  <w:num w:numId="9">
    <w:abstractNumId w:val="29"/>
  </w:num>
  <w:num w:numId="10">
    <w:abstractNumId w:val="18"/>
  </w:num>
  <w:num w:numId="11">
    <w:abstractNumId w:val="1"/>
  </w:num>
  <w:num w:numId="12">
    <w:abstractNumId w:val="2"/>
  </w:num>
  <w:num w:numId="13">
    <w:abstractNumId w:val="37"/>
  </w:num>
  <w:num w:numId="14">
    <w:abstractNumId w:val="25"/>
  </w:num>
  <w:num w:numId="15">
    <w:abstractNumId w:val="27"/>
  </w:num>
  <w:num w:numId="16">
    <w:abstractNumId w:val="13"/>
  </w:num>
  <w:num w:numId="17">
    <w:abstractNumId w:val="14"/>
  </w:num>
  <w:num w:numId="18">
    <w:abstractNumId w:val="5"/>
  </w:num>
  <w:num w:numId="19">
    <w:abstractNumId w:val="34"/>
  </w:num>
  <w:num w:numId="20">
    <w:abstractNumId w:val="16"/>
  </w:num>
  <w:num w:numId="21">
    <w:abstractNumId w:val="23"/>
  </w:num>
  <w:num w:numId="22">
    <w:abstractNumId w:val="21"/>
  </w:num>
  <w:num w:numId="23">
    <w:abstractNumId w:val="15"/>
  </w:num>
  <w:num w:numId="24">
    <w:abstractNumId w:val="39"/>
  </w:num>
  <w:num w:numId="25">
    <w:abstractNumId w:val="20"/>
  </w:num>
  <w:num w:numId="26">
    <w:abstractNumId w:val="8"/>
  </w:num>
  <w:num w:numId="27">
    <w:abstractNumId w:val="7"/>
  </w:num>
  <w:num w:numId="28">
    <w:abstractNumId w:val="4"/>
  </w:num>
  <w:num w:numId="29">
    <w:abstractNumId w:val="26"/>
  </w:num>
  <w:num w:numId="30">
    <w:abstractNumId w:val="36"/>
  </w:num>
  <w:num w:numId="31">
    <w:abstractNumId w:val="11"/>
  </w:num>
  <w:num w:numId="32">
    <w:abstractNumId w:val="28"/>
  </w:num>
  <w:num w:numId="33">
    <w:abstractNumId w:val="30"/>
  </w:num>
  <w:num w:numId="34">
    <w:abstractNumId w:val="24"/>
  </w:num>
  <w:num w:numId="35">
    <w:abstractNumId w:val="17"/>
  </w:num>
  <w:num w:numId="36">
    <w:abstractNumId w:val="22"/>
  </w:num>
  <w:num w:numId="37">
    <w:abstractNumId w:val="19"/>
  </w:num>
  <w:num w:numId="38">
    <w:abstractNumId w:val="31"/>
  </w:num>
  <w:num w:numId="39">
    <w:abstractNumId w:val="9"/>
  </w:num>
  <w:num w:numId="40">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displayHorizontalDrawingGridEvery w:val="0"/>
  <w:displayVerticalDrawingGridEvery w:val="0"/>
  <w:doNotUseMarginsForDrawingGridOrigin/>
  <w:doNotShadeFormData/>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0786"/>
    <w:rsid w:val="0000028B"/>
    <w:rsid w:val="00002ED0"/>
    <w:rsid w:val="00005AB8"/>
    <w:rsid w:val="000073D7"/>
    <w:rsid w:val="0001589F"/>
    <w:rsid w:val="000252F3"/>
    <w:rsid w:val="000267EF"/>
    <w:rsid w:val="0002740E"/>
    <w:rsid w:val="00027F41"/>
    <w:rsid w:val="000310A4"/>
    <w:rsid w:val="00032AB9"/>
    <w:rsid w:val="00034DB0"/>
    <w:rsid w:val="0003577D"/>
    <w:rsid w:val="00040745"/>
    <w:rsid w:val="00044C83"/>
    <w:rsid w:val="00046F3C"/>
    <w:rsid w:val="0004704E"/>
    <w:rsid w:val="00050478"/>
    <w:rsid w:val="0006029E"/>
    <w:rsid w:val="00060381"/>
    <w:rsid w:val="00060E5F"/>
    <w:rsid w:val="00061804"/>
    <w:rsid w:val="00063FE8"/>
    <w:rsid w:val="000672E5"/>
    <w:rsid w:val="00071EF2"/>
    <w:rsid w:val="00073E65"/>
    <w:rsid w:val="00074C66"/>
    <w:rsid w:val="00077E39"/>
    <w:rsid w:val="00084C46"/>
    <w:rsid w:val="000863CD"/>
    <w:rsid w:val="000879C8"/>
    <w:rsid w:val="00093350"/>
    <w:rsid w:val="00097269"/>
    <w:rsid w:val="000A2F51"/>
    <w:rsid w:val="000A4322"/>
    <w:rsid w:val="000A7E93"/>
    <w:rsid w:val="000B3890"/>
    <w:rsid w:val="000C0EAD"/>
    <w:rsid w:val="000C47F8"/>
    <w:rsid w:val="000C6D8D"/>
    <w:rsid w:val="000D0599"/>
    <w:rsid w:val="000D31D6"/>
    <w:rsid w:val="000D454E"/>
    <w:rsid w:val="000D54AD"/>
    <w:rsid w:val="000D54BB"/>
    <w:rsid w:val="000D66EA"/>
    <w:rsid w:val="000D6A0B"/>
    <w:rsid w:val="000E0475"/>
    <w:rsid w:val="000E3AAB"/>
    <w:rsid w:val="000F38DE"/>
    <w:rsid w:val="000F4273"/>
    <w:rsid w:val="001079A4"/>
    <w:rsid w:val="001104F5"/>
    <w:rsid w:val="00110CE6"/>
    <w:rsid w:val="00111214"/>
    <w:rsid w:val="001138F1"/>
    <w:rsid w:val="00113D84"/>
    <w:rsid w:val="00114D8E"/>
    <w:rsid w:val="00117950"/>
    <w:rsid w:val="00117FEC"/>
    <w:rsid w:val="0012035E"/>
    <w:rsid w:val="00122B5E"/>
    <w:rsid w:val="0012524A"/>
    <w:rsid w:val="00126A75"/>
    <w:rsid w:val="00131ED0"/>
    <w:rsid w:val="00132826"/>
    <w:rsid w:val="0013577F"/>
    <w:rsid w:val="00135C62"/>
    <w:rsid w:val="00136538"/>
    <w:rsid w:val="0014116C"/>
    <w:rsid w:val="00142348"/>
    <w:rsid w:val="00146195"/>
    <w:rsid w:val="00146625"/>
    <w:rsid w:val="0015060B"/>
    <w:rsid w:val="00150F99"/>
    <w:rsid w:val="00156F93"/>
    <w:rsid w:val="001600AC"/>
    <w:rsid w:val="001600E2"/>
    <w:rsid w:val="00164915"/>
    <w:rsid w:val="001672D5"/>
    <w:rsid w:val="0016780C"/>
    <w:rsid w:val="00173491"/>
    <w:rsid w:val="0017447B"/>
    <w:rsid w:val="00175868"/>
    <w:rsid w:val="00175B3C"/>
    <w:rsid w:val="00177C1D"/>
    <w:rsid w:val="00183068"/>
    <w:rsid w:val="0018373A"/>
    <w:rsid w:val="00184815"/>
    <w:rsid w:val="00187210"/>
    <w:rsid w:val="00192236"/>
    <w:rsid w:val="00193166"/>
    <w:rsid w:val="001962E5"/>
    <w:rsid w:val="00196EC9"/>
    <w:rsid w:val="001A0D0E"/>
    <w:rsid w:val="001A1968"/>
    <w:rsid w:val="001A6269"/>
    <w:rsid w:val="001B106E"/>
    <w:rsid w:val="001B2ECF"/>
    <w:rsid w:val="001B7BB7"/>
    <w:rsid w:val="001C2270"/>
    <w:rsid w:val="001C32DE"/>
    <w:rsid w:val="001C445A"/>
    <w:rsid w:val="001C62CA"/>
    <w:rsid w:val="001C64DD"/>
    <w:rsid w:val="001C67E1"/>
    <w:rsid w:val="001D54C6"/>
    <w:rsid w:val="001D7AD0"/>
    <w:rsid w:val="001E38C9"/>
    <w:rsid w:val="001E6CD3"/>
    <w:rsid w:val="001F0E83"/>
    <w:rsid w:val="001F0F1C"/>
    <w:rsid w:val="001F2B68"/>
    <w:rsid w:val="001F5BF4"/>
    <w:rsid w:val="001F79A9"/>
    <w:rsid w:val="0021491A"/>
    <w:rsid w:val="00222CE0"/>
    <w:rsid w:val="00224FF4"/>
    <w:rsid w:val="00225EA5"/>
    <w:rsid w:val="00226FEA"/>
    <w:rsid w:val="00233D49"/>
    <w:rsid w:val="002406C5"/>
    <w:rsid w:val="002420F4"/>
    <w:rsid w:val="00252FAB"/>
    <w:rsid w:val="00256196"/>
    <w:rsid w:val="002574B4"/>
    <w:rsid w:val="00257EDF"/>
    <w:rsid w:val="00261F6C"/>
    <w:rsid w:val="0026330D"/>
    <w:rsid w:val="00264EDD"/>
    <w:rsid w:val="00276A08"/>
    <w:rsid w:val="00286B5E"/>
    <w:rsid w:val="00293D4F"/>
    <w:rsid w:val="00295072"/>
    <w:rsid w:val="0029527D"/>
    <w:rsid w:val="00295EAC"/>
    <w:rsid w:val="002A00CC"/>
    <w:rsid w:val="002A1410"/>
    <w:rsid w:val="002A72B5"/>
    <w:rsid w:val="002B1EBD"/>
    <w:rsid w:val="002B3191"/>
    <w:rsid w:val="002B3820"/>
    <w:rsid w:val="002C18FD"/>
    <w:rsid w:val="002C3F40"/>
    <w:rsid w:val="002C6046"/>
    <w:rsid w:val="002D2FB4"/>
    <w:rsid w:val="002D4CEF"/>
    <w:rsid w:val="002E04A8"/>
    <w:rsid w:val="002E21C2"/>
    <w:rsid w:val="002E5E2F"/>
    <w:rsid w:val="003101C9"/>
    <w:rsid w:val="0031133D"/>
    <w:rsid w:val="00312E38"/>
    <w:rsid w:val="003138AD"/>
    <w:rsid w:val="00315D41"/>
    <w:rsid w:val="003208B4"/>
    <w:rsid w:val="00320940"/>
    <w:rsid w:val="00325073"/>
    <w:rsid w:val="003268A3"/>
    <w:rsid w:val="00332B1A"/>
    <w:rsid w:val="00332C4B"/>
    <w:rsid w:val="00332FDB"/>
    <w:rsid w:val="00335A25"/>
    <w:rsid w:val="00335C1B"/>
    <w:rsid w:val="00340786"/>
    <w:rsid w:val="00343B70"/>
    <w:rsid w:val="00346D3A"/>
    <w:rsid w:val="003520FF"/>
    <w:rsid w:val="0035423A"/>
    <w:rsid w:val="0035592F"/>
    <w:rsid w:val="00355F31"/>
    <w:rsid w:val="00365589"/>
    <w:rsid w:val="00372224"/>
    <w:rsid w:val="003733C1"/>
    <w:rsid w:val="003750A5"/>
    <w:rsid w:val="00381765"/>
    <w:rsid w:val="0038606C"/>
    <w:rsid w:val="00392074"/>
    <w:rsid w:val="00395334"/>
    <w:rsid w:val="0039741A"/>
    <w:rsid w:val="003A38CA"/>
    <w:rsid w:val="003A3ACA"/>
    <w:rsid w:val="003A3E5D"/>
    <w:rsid w:val="003A4161"/>
    <w:rsid w:val="003A4D62"/>
    <w:rsid w:val="003B15A2"/>
    <w:rsid w:val="003B2EB8"/>
    <w:rsid w:val="003B30F2"/>
    <w:rsid w:val="003B5C3A"/>
    <w:rsid w:val="003C0C5B"/>
    <w:rsid w:val="003C1E9F"/>
    <w:rsid w:val="003C7880"/>
    <w:rsid w:val="003D63C5"/>
    <w:rsid w:val="003D7BDB"/>
    <w:rsid w:val="003E17BD"/>
    <w:rsid w:val="003E6274"/>
    <w:rsid w:val="003E6B84"/>
    <w:rsid w:val="003F1B85"/>
    <w:rsid w:val="003F5668"/>
    <w:rsid w:val="00400909"/>
    <w:rsid w:val="00404CAC"/>
    <w:rsid w:val="00411480"/>
    <w:rsid w:val="0041782D"/>
    <w:rsid w:val="00422B8E"/>
    <w:rsid w:val="00423844"/>
    <w:rsid w:val="00423A6A"/>
    <w:rsid w:val="00431C1B"/>
    <w:rsid w:val="00432256"/>
    <w:rsid w:val="00432B4B"/>
    <w:rsid w:val="004343E9"/>
    <w:rsid w:val="00435474"/>
    <w:rsid w:val="004356AC"/>
    <w:rsid w:val="00447146"/>
    <w:rsid w:val="00447755"/>
    <w:rsid w:val="0045039D"/>
    <w:rsid w:val="00455CFA"/>
    <w:rsid w:val="00456651"/>
    <w:rsid w:val="0045682D"/>
    <w:rsid w:val="00460C7D"/>
    <w:rsid w:val="004637E7"/>
    <w:rsid w:val="00465EFC"/>
    <w:rsid w:val="00467DD0"/>
    <w:rsid w:val="00470D44"/>
    <w:rsid w:val="004713BD"/>
    <w:rsid w:val="00472971"/>
    <w:rsid w:val="004911AB"/>
    <w:rsid w:val="004A27D8"/>
    <w:rsid w:val="004A34CC"/>
    <w:rsid w:val="004A3689"/>
    <w:rsid w:val="004A778F"/>
    <w:rsid w:val="004B1917"/>
    <w:rsid w:val="004B1DC1"/>
    <w:rsid w:val="004B3616"/>
    <w:rsid w:val="004B4AB2"/>
    <w:rsid w:val="004B7E1D"/>
    <w:rsid w:val="004C3E99"/>
    <w:rsid w:val="004D504D"/>
    <w:rsid w:val="004D645D"/>
    <w:rsid w:val="004E015C"/>
    <w:rsid w:val="004E03F7"/>
    <w:rsid w:val="004E2766"/>
    <w:rsid w:val="004E350D"/>
    <w:rsid w:val="004E6320"/>
    <w:rsid w:val="004F0B30"/>
    <w:rsid w:val="004F1EF5"/>
    <w:rsid w:val="004F34BD"/>
    <w:rsid w:val="004F601C"/>
    <w:rsid w:val="004F7B42"/>
    <w:rsid w:val="005100B7"/>
    <w:rsid w:val="005119D8"/>
    <w:rsid w:val="005135EB"/>
    <w:rsid w:val="00514952"/>
    <w:rsid w:val="00524FB4"/>
    <w:rsid w:val="00525106"/>
    <w:rsid w:val="005271AE"/>
    <w:rsid w:val="005271ED"/>
    <w:rsid w:val="00527FF2"/>
    <w:rsid w:val="00535981"/>
    <w:rsid w:val="00536955"/>
    <w:rsid w:val="00543942"/>
    <w:rsid w:val="00547EEB"/>
    <w:rsid w:val="00553358"/>
    <w:rsid w:val="0055376E"/>
    <w:rsid w:val="00560592"/>
    <w:rsid w:val="00561148"/>
    <w:rsid w:val="00571921"/>
    <w:rsid w:val="00577B2F"/>
    <w:rsid w:val="005800A7"/>
    <w:rsid w:val="00581F0B"/>
    <w:rsid w:val="0058487C"/>
    <w:rsid w:val="00585A08"/>
    <w:rsid w:val="00587842"/>
    <w:rsid w:val="00590525"/>
    <w:rsid w:val="005932A9"/>
    <w:rsid w:val="0059504F"/>
    <w:rsid w:val="005A1BFF"/>
    <w:rsid w:val="005A4B56"/>
    <w:rsid w:val="005B368F"/>
    <w:rsid w:val="005B57BE"/>
    <w:rsid w:val="005B794F"/>
    <w:rsid w:val="005C4FE1"/>
    <w:rsid w:val="005C654C"/>
    <w:rsid w:val="005E0F71"/>
    <w:rsid w:val="005E3B31"/>
    <w:rsid w:val="005E4CB4"/>
    <w:rsid w:val="005F358C"/>
    <w:rsid w:val="005F3EFC"/>
    <w:rsid w:val="005F519B"/>
    <w:rsid w:val="005F6228"/>
    <w:rsid w:val="00603D7C"/>
    <w:rsid w:val="006044F6"/>
    <w:rsid w:val="006100B9"/>
    <w:rsid w:val="00612B12"/>
    <w:rsid w:val="00614BE9"/>
    <w:rsid w:val="0061556C"/>
    <w:rsid w:val="006213C4"/>
    <w:rsid w:val="006239CE"/>
    <w:rsid w:val="0062675A"/>
    <w:rsid w:val="0063051A"/>
    <w:rsid w:val="00634F63"/>
    <w:rsid w:val="00635993"/>
    <w:rsid w:val="006369FC"/>
    <w:rsid w:val="006411F8"/>
    <w:rsid w:val="00641AC2"/>
    <w:rsid w:val="0064294C"/>
    <w:rsid w:val="00644068"/>
    <w:rsid w:val="006450A6"/>
    <w:rsid w:val="00651552"/>
    <w:rsid w:val="00651B19"/>
    <w:rsid w:val="006541DB"/>
    <w:rsid w:val="00655C89"/>
    <w:rsid w:val="00657AD0"/>
    <w:rsid w:val="00661E5A"/>
    <w:rsid w:val="00663AF8"/>
    <w:rsid w:val="00670770"/>
    <w:rsid w:val="00670ACF"/>
    <w:rsid w:val="00671C23"/>
    <w:rsid w:val="00675867"/>
    <w:rsid w:val="006814FD"/>
    <w:rsid w:val="006816A2"/>
    <w:rsid w:val="0068208B"/>
    <w:rsid w:val="00682DFF"/>
    <w:rsid w:val="0068314B"/>
    <w:rsid w:val="00684849"/>
    <w:rsid w:val="00684962"/>
    <w:rsid w:val="00695791"/>
    <w:rsid w:val="006A0AB2"/>
    <w:rsid w:val="006A11D7"/>
    <w:rsid w:val="006A6BD9"/>
    <w:rsid w:val="006B03E2"/>
    <w:rsid w:val="006B2178"/>
    <w:rsid w:val="006B46A5"/>
    <w:rsid w:val="006B57F1"/>
    <w:rsid w:val="006B65F4"/>
    <w:rsid w:val="006C06B0"/>
    <w:rsid w:val="006C2FE5"/>
    <w:rsid w:val="006C451D"/>
    <w:rsid w:val="006C49D7"/>
    <w:rsid w:val="006D4BF4"/>
    <w:rsid w:val="006E41FC"/>
    <w:rsid w:val="006E619D"/>
    <w:rsid w:val="006F415B"/>
    <w:rsid w:val="006F56DB"/>
    <w:rsid w:val="006F7AE6"/>
    <w:rsid w:val="007010CB"/>
    <w:rsid w:val="00701D1B"/>
    <w:rsid w:val="007104BF"/>
    <w:rsid w:val="00715FEF"/>
    <w:rsid w:val="00717756"/>
    <w:rsid w:val="00721170"/>
    <w:rsid w:val="007211BF"/>
    <w:rsid w:val="00722E70"/>
    <w:rsid w:val="00723CFB"/>
    <w:rsid w:val="00732E79"/>
    <w:rsid w:val="00733ECA"/>
    <w:rsid w:val="0073440E"/>
    <w:rsid w:val="0074170F"/>
    <w:rsid w:val="00745B28"/>
    <w:rsid w:val="0074748C"/>
    <w:rsid w:val="00747770"/>
    <w:rsid w:val="007479DD"/>
    <w:rsid w:val="00750B8B"/>
    <w:rsid w:val="0075374C"/>
    <w:rsid w:val="00756BD3"/>
    <w:rsid w:val="007630CF"/>
    <w:rsid w:val="00763507"/>
    <w:rsid w:val="00767D7D"/>
    <w:rsid w:val="00770265"/>
    <w:rsid w:val="00775555"/>
    <w:rsid w:val="00787BAB"/>
    <w:rsid w:val="0079488C"/>
    <w:rsid w:val="00794890"/>
    <w:rsid w:val="007973D7"/>
    <w:rsid w:val="007A01E3"/>
    <w:rsid w:val="007A34CC"/>
    <w:rsid w:val="007A4A91"/>
    <w:rsid w:val="007A50C7"/>
    <w:rsid w:val="007A63D0"/>
    <w:rsid w:val="007A6672"/>
    <w:rsid w:val="007A6FB5"/>
    <w:rsid w:val="007A751C"/>
    <w:rsid w:val="007B2FDC"/>
    <w:rsid w:val="007C306C"/>
    <w:rsid w:val="007C6D85"/>
    <w:rsid w:val="007D0A07"/>
    <w:rsid w:val="007D43F4"/>
    <w:rsid w:val="007D5A65"/>
    <w:rsid w:val="007E6CB1"/>
    <w:rsid w:val="007F3A11"/>
    <w:rsid w:val="007F4128"/>
    <w:rsid w:val="00800BF9"/>
    <w:rsid w:val="00802102"/>
    <w:rsid w:val="0081132E"/>
    <w:rsid w:val="00814D6E"/>
    <w:rsid w:val="00817C7A"/>
    <w:rsid w:val="0082212A"/>
    <w:rsid w:val="0082264B"/>
    <w:rsid w:val="00830255"/>
    <w:rsid w:val="00833A06"/>
    <w:rsid w:val="00835795"/>
    <w:rsid w:val="00842B86"/>
    <w:rsid w:val="00850573"/>
    <w:rsid w:val="008546D0"/>
    <w:rsid w:val="008579C9"/>
    <w:rsid w:val="00863C77"/>
    <w:rsid w:val="008701FE"/>
    <w:rsid w:val="00875AF0"/>
    <w:rsid w:val="00877492"/>
    <w:rsid w:val="008809DD"/>
    <w:rsid w:val="00884DC7"/>
    <w:rsid w:val="0088699C"/>
    <w:rsid w:val="00887D84"/>
    <w:rsid w:val="00890979"/>
    <w:rsid w:val="00890DAE"/>
    <w:rsid w:val="008916D7"/>
    <w:rsid w:val="00895FD9"/>
    <w:rsid w:val="00897732"/>
    <w:rsid w:val="008A206E"/>
    <w:rsid w:val="008A29E1"/>
    <w:rsid w:val="008A58C9"/>
    <w:rsid w:val="008B07E8"/>
    <w:rsid w:val="008B1508"/>
    <w:rsid w:val="008B1BFC"/>
    <w:rsid w:val="008B3241"/>
    <w:rsid w:val="008B3B0E"/>
    <w:rsid w:val="008C47AE"/>
    <w:rsid w:val="008D1AC5"/>
    <w:rsid w:val="008D7BF8"/>
    <w:rsid w:val="008D7E6A"/>
    <w:rsid w:val="008E13E6"/>
    <w:rsid w:val="008E15DC"/>
    <w:rsid w:val="008E6B78"/>
    <w:rsid w:val="008F069D"/>
    <w:rsid w:val="008F14D0"/>
    <w:rsid w:val="0090085F"/>
    <w:rsid w:val="00904141"/>
    <w:rsid w:val="00904186"/>
    <w:rsid w:val="00905474"/>
    <w:rsid w:val="00906912"/>
    <w:rsid w:val="00906D2B"/>
    <w:rsid w:val="00910F61"/>
    <w:rsid w:val="009114D1"/>
    <w:rsid w:val="00913839"/>
    <w:rsid w:val="00920354"/>
    <w:rsid w:val="009206EC"/>
    <w:rsid w:val="00925C0C"/>
    <w:rsid w:val="00927824"/>
    <w:rsid w:val="00937A1D"/>
    <w:rsid w:val="00942EDA"/>
    <w:rsid w:val="009432EC"/>
    <w:rsid w:val="00943ADF"/>
    <w:rsid w:val="00944051"/>
    <w:rsid w:val="00946C09"/>
    <w:rsid w:val="00950FA9"/>
    <w:rsid w:val="0095167C"/>
    <w:rsid w:val="009534AC"/>
    <w:rsid w:val="00960175"/>
    <w:rsid w:val="00960E1F"/>
    <w:rsid w:val="009619B7"/>
    <w:rsid w:val="00965304"/>
    <w:rsid w:val="009711AC"/>
    <w:rsid w:val="0097344C"/>
    <w:rsid w:val="0097393D"/>
    <w:rsid w:val="00976444"/>
    <w:rsid w:val="00982BB7"/>
    <w:rsid w:val="009869D8"/>
    <w:rsid w:val="00987201"/>
    <w:rsid w:val="00992416"/>
    <w:rsid w:val="00994A6A"/>
    <w:rsid w:val="009A05AA"/>
    <w:rsid w:val="009A1289"/>
    <w:rsid w:val="009B2C73"/>
    <w:rsid w:val="009B5C70"/>
    <w:rsid w:val="009C051B"/>
    <w:rsid w:val="009D06F7"/>
    <w:rsid w:val="009D15E2"/>
    <w:rsid w:val="009D49FE"/>
    <w:rsid w:val="009D7337"/>
    <w:rsid w:val="009E478A"/>
    <w:rsid w:val="009E600B"/>
    <w:rsid w:val="009E706F"/>
    <w:rsid w:val="009E71CA"/>
    <w:rsid w:val="009E73A0"/>
    <w:rsid w:val="009F0A20"/>
    <w:rsid w:val="009F7238"/>
    <w:rsid w:val="00A03535"/>
    <w:rsid w:val="00A03A59"/>
    <w:rsid w:val="00A106B2"/>
    <w:rsid w:val="00A11660"/>
    <w:rsid w:val="00A12379"/>
    <w:rsid w:val="00A161BE"/>
    <w:rsid w:val="00A20990"/>
    <w:rsid w:val="00A24AF5"/>
    <w:rsid w:val="00A3340F"/>
    <w:rsid w:val="00A33C61"/>
    <w:rsid w:val="00A343F7"/>
    <w:rsid w:val="00A377C3"/>
    <w:rsid w:val="00A41042"/>
    <w:rsid w:val="00A425E8"/>
    <w:rsid w:val="00A43C0D"/>
    <w:rsid w:val="00A4659B"/>
    <w:rsid w:val="00A5046E"/>
    <w:rsid w:val="00A52223"/>
    <w:rsid w:val="00A63480"/>
    <w:rsid w:val="00A66535"/>
    <w:rsid w:val="00A754B1"/>
    <w:rsid w:val="00A76E7C"/>
    <w:rsid w:val="00A81530"/>
    <w:rsid w:val="00A85176"/>
    <w:rsid w:val="00A864CC"/>
    <w:rsid w:val="00A90A2B"/>
    <w:rsid w:val="00A9127F"/>
    <w:rsid w:val="00A917DA"/>
    <w:rsid w:val="00A91FFF"/>
    <w:rsid w:val="00A9256B"/>
    <w:rsid w:val="00A94DA4"/>
    <w:rsid w:val="00A96BB3"/>
    <w:rsid w:val="00A96EC1"/>
    <w:rsid w:val="00AA0E35"/>
    <w:rsid w:val="00AA380C"/>
    <w:rsid w:val="00AA5E88"/>
    <w:rsid w:val="00AA75C8"/>
    <w:rsid w:val="00AB0D11"/>
    <w:rsid w:val="00AB1454"/>
    <w:rsid w:val="00AB1645"/>
    <w:rsid w:val="00AB2E77"/>
    <w:rsid w:val="00AB4AA2"/>
    <w:rsid w:val="00AB4E26"/>
    <w:rsid w:val="00AC1F29"/>
    <w:rsid w:val="00AC5970"/>
    <w:rsid w:val="00AD0BD4"/>
    <w:rsid w:val="00AD520C"/>
    <w:rsid w:val="00AE32E4"/>
    <w:rsid w:val="00AE660D"/>
    <w:rsid w:val="00AF23C3"/>
    <w:rsid w:val="00AF3A0B"/>
    <w:rsid w:val="00AF591A"/>
    <w:rsid w:val="00B0092F"/>
    <w:rsid w:val="00B02C60"/>
    <w:rsid w:val="00B064F2"/>
    <w:rsid w:val="00B06987"/>
    <w:rsid w:val="00B17DB3"/>
    <w:rsid w:val="00B2744D"/>
    <w:rsid w:val="00B2760A"/>
    <w:rsid w:val="00B40335"/>
    <w:rsid w:val="00B40743"/>
    <w:rsid w:val="00B40A10"/>
    <w:rsid w:val="00B41C71"/>
    <w:rsid w:val="00B4347A"/>
    <w:rsid w:val="00B441FD"/>
    <w:rsid w:val="00B443D1"/>
    <w:rsid w:val="00B467DE"/>
    <w:rsid w:val="00B51652"/>
    <w:rsid w:val="00B517E9"/>
    <w:rsid w:val="00B53B3C"/>
    <w:rsid w:val="00B53F6F"/>
    <w:rsid w:val="00B647D8"/>
    <w:rsid w:val="00B7070B"/>
    <w:rsid w:val="00B707FC"/>
    <w:rsid w:val="00B72400"/>
    <w:rsid w:val="00B728D8"/>
    <w:rsid w:val="00B75131"/>
    <w:rsid w:val="00B76227"/>
    <w:rsid w:val="00B76D2A"/>
    <w:rsid w:val="00B806A5"/>
    <w:rsid w:val="00B81122"/>
    <w:rsid w:val="00B81F55"/>
    <w:rsid w:val="00B85819"/>
    <w:rsid w:val="00B93203"/>
    <w:rsid w:val="00BA3710"/>
    <w:rsid w:val="00BA6C5B"/>
    <w:rsid w:val="00BB0093"/>
    <w:rsid w:val="00BB0D7E"/>
    <w:rsid w:val="00BB2729"/>
    <w:rsid w:val="00BB48AD"/>
    <w:rsid w:val="00BB6567"/>
    <w:rsid w:val="00BC39A4"/>
    <w:rsid w:val="00BC5C3F"/>
    <w:rsid w:val="00BE3B9D"/>
    <w:rsid w:val="00BF003D"/>
    <w:rsid w:val="00C023F4"/>
    <w:rsid w:val="00C06D92"/>
    <w:rsid w:val="00C06E5A"/>
    <w:rsid w:val="00C0792D"/>
    <w:rsid w:val="00C14871"/>
    <w:rsid w:val="00C177FA"/>
    <w:rsid w:val="00C17FD7"/>
    <w:rsid w:val="00C230CB"/>
    <w:rsid w:val="00C269A0"/>
    <w:rsid w:val="00C26AD5"/>
    <w:rsid w:val="00C312DB"/>
    <w:rsid w:val="00C37A36"/>
    <w:rsid w:val="00C40E20"/>
    <w:rsid w:val="00C42E75"/>
    <w:rsid w:val="00C4640F"/>
    <w:rsid w:val="00C4751A"/>
    <w:rsid w:val="00C47736"/>
    <w:rsid w:val="00C51246"/>
    <w:rsid w:val="00C54495"/>
    <w:rsid w:val="00C54CD6"/>
    <w:rsid w:val="00C54D91"/>
    <w:rsid w:val="00C62B79"/>
    <w:rsid w:val="00C6315D"/>
    <w:rsid w:val="00C67791"/>
    <w:rsid w:val="00C67822"/>
    <w:rsid w:val="00C71607"/>
    <w:rsid w:val="00C774DF"/>
    <w:rsid w:val="00C77D15"/>
    <w:rsid w:val="00C80AC5"/>
    <w:rsid w:val="00C8197C"/>
    <w:rsid w:val="00C81D0F"/>
    <w:rsid w:val="00C84963"/>
    <w:rsid w:val="00C861F2"/>
    <w:rsid w:val="00C9110A"/>
    <w:rsid w:val="00C94C98"/>
    <w:rsid w:val="00CA2CA4"/>
    <w:rsid w:val="00CA74CF"/>
    <w:rsid w:val="00CA78E7"/>
    <w:rsid w:val="00CB0D01"/>
    <w:rsid w:val="00CC31C7"/>
    <w:rsid w:val="00CC5D94"/>
    <w:rsid w:val="00CC7078"/>
    <w:rsid w:val="00CD3347"/>
    <w:rsid w:val="00CD3C31"/>
    <w:rsid w:val="00CD4C87"/>
    <w:rsid w:val="00CE64CA"/>
    <w:rsid w:val="00CE7592"/>
    <w:rsid w:val="00CF056E"/>
    <w:rsid w:val="00D05DE1"/>
    <w:rsid w:val="00D07162"/>
    <w:rsid w:val="00D106B1"/>
    <w:rsid w:val="00D11DE1"/>
    <w:rsid w:val="00D11F0E"/>
    <w:rsid w:val="00D14BA6"/>
    <w:rsid w:val="00D25ABF"/>
    <w:rsid w:val="00D26611"/>
    <w:rsid w:val="00D351D9"/>
    <w:rsid w:val="00D433E8"/>
    <w:rsid w:val="00D45306"/>
    <w:rsid w:val="00D4704F"/>
    <w:rsid w:val="00D52AE4"/>
    <w:rsid w:val="00D6217B"/>
    <w:rsid w:val="00D663B3"/>
    <w:rsid w:val="00D767BB"/>
    <w:rsid w:val="00D76940"/>
    <w:rsid w:val="00D77686"/>
    <w:rsid w:val="00D77FC0"/>
    <w:rsid w:val="00D809EF"/>
    <w:rsid w:val="00D8792B"/>
    <w:rsid w:val="00D92A90"/>
    <w:rsid w:val="00D930B3"/>
    <w:rsid w:val="00DA4A93"/>
    <w:rsid w:val="00DA4F10"/>
    <w:rsid w:val="00DA5643"/>
    <w:rsid w:val="00DA69F8"/>
    <w:rsid w:val="00DB0147"/>
    <w:rsid w:val="00DB0827"/>
    <w:rsid w:val="00DD263E"/>
    <w:rsid w:val="00DD45A5"/>
    <w:rsid w:val="00DD535F"/>
    <w:rsid w:val="00DD6B16"/>
    <w:rsid w:val="00DD7240"/>
    <w:rsid w:val="00DE0515"/>
    <w:rsid w:val="00DE11FE"/>
    <w:rsid w:val="00DE3559"/>
    <w:rsid w:val="00DE3CE3"/>
    <w:rsid w:val="00DE5C1C"/>
    <w:rsid w:val="00DE6233"/>
    <w:rsid w:val="00DF40B6"/>
    <w:rsid w:val="00DF7775"/>
    <w:rsid w:val="00E04AEA"/>
    <w:rsid w:val="00E05DC9"/>
    <w:rsid w:val="00E060CC"/>
    <w:rsid w:val="00E06AB9"/>
    <w:rsid w:val="00E146A1"/>
    <w:rsid w:val="00E17849"/>
    <w:rsid w:val="00E24AB4"/>
    <w:rsid w:val="00E2591A"/>
    <w:rsid w:val="00E26B6E"/>
    <w:rsid w:val="00E27EEC"/>
    <w:rsid w:val="00E27FB8"/>
    <w:rsid w:val="00E30DB8"/>
    <w:rsid w:val="00E3397A"/>
    <w:rsid w:val="00E34D87"/>
    <w:rsid w:val="00E40A76"/>
    <w:rsid w:val="00E40FA0"/>
    <w:rsid w:val="00E453EA"/>
    <w:rsid w:val="00E61549"/>
    <w:rsid w:val="00E626A2"/>
    <w:rsid w:val="00E678EB"/>
    <w:rsid w:val="00E70085"/>
    <w:rsid w:val="00E757F1"/>
    <w:rsid w:val="00E763FD"/>
    <w:rsid w:val="00E7641D"/>
    <w:rsid w:val="00E858DF"/>
    <w:rsid w:val="00E85B5A"/>
    <w:rsid w:val="00E870A8"/>
    <w:rsid w:val="00E9057C"/>
    <w:rsid w:val="00E943CB"/>
    <w:rsid w:val="00EB0303"/>
    <w:rsid w:val="00EB1FE9"/>
    <w:rsid w:val="00EB47D9"/>
    <w:rsid w:val="00EB4B54"/>
    <w:rsid w:val="00EC475B"/>
    <w:rsid w:val="00ED08A4"/>
    <w:rsid w:val="00ED3A93"/>
    <w:rsid w:val="00ED3F09"/>
    <w:rsid w:val="00ED4A89"/>
    <w:rsid w:val="00ED51B1"/>
    <w:rsid w:val="00ED7E87"/>
    <w:rsid w:val="00EE231E"/>
    <w:rsid w:val="00EE6925"/>
    <w:rsid w:val="00EE7083"/>
    <w:rsid w:val="00EF2275"/>
    <w:rsid w:val="00EF3820"/>
    <w:rsid w:val="00EF4458"/>
    <w:rsid w:val="00EF5E2E"/>
    <w:rsid w:val="00F00C0D"/>
    <w:rsid w:val="00F02BDD"/>
    <w:rsid w:val="00F0647A"/>
    <w:rsid w:val="00F0708A"/>
    <w:rsid w:val="00F15050"/>
    <w:rsid w:val="00F15A3D"/>
    <w:rsid w:val="00F16C91"/>
    <w:rsid w:val="00F16E46"/>
    <w:rsid w:val="00F23E31"/>
    <w:rsid w:val="00F3274A"/>
    <w:rsid w:val="00F33267"/>
    <w:rsid w:val="00F33B70"/>
    <w:rsid w:val="00F35409"/>
    <w:rsid w:val="00F356D8"/>
    <w:rsid w:val="00F36F86"/>
    <w:rsid w:val="00F47B7A"/>
    <w:rsid w:val="00F530A9"/>
    <w:rsid w:val="00F54AEF"/>
    <w:rsid w:val="00F574AC"/>
    <w:rsid w:val="00F57C51"/>
    <w:rsid w:val="00F6745E"/>
    <w:rsid w:val="00F744E1"/>
    <w:rsid w:val="00F7546E"/>
    <w:rsid w:val="00F75FCF"/>
    <w:rsid w:val="00F805A0"/>
    <w:rsid w:val="00F81151"/>
    <w:rsid w:val="00FA27E8"/>
    <w:rsid w:val="00FA57C9"/>
    <w:rsid w:val="00FB2C60"/>
    <w:rsid w:val="00FB3654"/>
    <w:rsid w:val="00FB3736"/>
    <w:rsid w:val="00FB5F79"/>
    <w:rsid w:val="00FB67DC"/>
    <w:rsid w:val="00FB7847"/>
    <w:rsid w:val="00FC067B"/>
    <w:rsid w:val="00FC2AD2"/>
    <w:rsid w:val="00FC406E"/>
    <w:rsid w:val="00FD20D2"/>
    <w:rsid w:val="00FD4E15"/>
    <w:rsid w:val="00FE5D85"/>
    <w:rsid w:val="00FF1EC1"/>
    <w:rsid w:val="00FF3AA5"/>
    <w:rsid w:val="00FF46B8"/>
    <w:rsid w:val="00FF4D06"/>
    <w:rsid w:val="00FF54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pPr>
      <w:keepNext/>
      <w:spacing w:line="240" w:lineRule="exact"/>
      <w:outlineLvl w:val="0"/>
    </w:pPr>
    <w:rPr>
      <w:b/>
    </w:rPr>
  </w:style>
  <w:style w:type="paragraph" w:styleId="Heading2">
    <w:name w:val="heading 2"/>
    <w:basedOn w:val="Normal"/>
    <w:next w:val="Normal"/>
    <w:qFormat/>
    <w:pPr>
      <w:keepNext/>
      <w:tabs>
        <w:tab w:val="left" w:pos="720"/>
        <w:tab w:val="left" w:pos="1440"/>
        <w:tab w:val="right" w:pos="8640"/>
      </w:tabs>
      <w:spacing w:line="240" w:lineRule="exact"/>
      <w:ind w:left="1440" w:hanging="720"/>
      <w:outlineLvl w:val="1"/>
    </w:pPr>
  </w:style>
  <w:style w:type="paragraph" w:styleId="Heading3">
    <w:name w:val="heading 3"/>
    <w:basedOn w:val="Normal"/>
    <w:next w:val="Normal"/>
    <w:qFormat/>
    <w:pPr>
      <w:keepNext/>
      <w:spacing w:line="240" w:lineRule="exact"/>
      <w:ind w:left="720"/>
      <w:jc w:val="center"/>
      <w:outlineLvl w:val="2"/>
    </w:pPr>
    <w:rPr>
      <w:b/>
    </w:rPr>
  </w:style>
  <w:style w:type="paragraph" w:styleId="Heading4">
    <w:name w:val="heading 4"/>
    <w:basedOn w:val="Normal"/>
    <w:next w:val="Normal"/>
    <w:qFormat/>
    <w:pPr>
      <w:keepNext/>
      <w:pBdr>
        <w:bottom w:val="double" w:sz="6" w:space="0" w:color="000000"/>
      </w:pBdr>
      <w:spacing w:line="240" w:lineRule="exact"/>
      <w:jc w:val="both"/>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ainanswerparagraph">
    <w:name w:val="main answer paragraph"/>
    <w:pPr>
      <w:tabs>
        <w:tab w:val="left" w:pos="720"/>
      </w:tabs>
      <w:spacing w:line="240" w:lineRule="exact"/>
      <w:ind w:left="720" w:hanging="720"/>
      <w:jc w:val="both"/>
    </w:pPr>
    <w:rPr>
      <w:rFonts w:ascii="Times" w:hAnsi="Times"/>
    </w:rPr>
  </w:style>
  <w:style w:type="paragraph" w:customStyle="1" w:styleId="subquestionpara">
    <w:name w:val="sub question para."/>
    <w:pPr>
      <w:tabs>
        <w:tab w:val="left" w:pos="1152"/>
      </w:tabs>
      <w:spacing w:line="240" w:lineRule="exact"/>
      <w:ind w:left="1152" w:hanging="432"/>
    </w:pPr>
    <w:rPr>
      <w:rFonts w:ascii="Times" w:hAnsi="Times"/>
    </w:rPr>
  </w:style>
  <w:style w:type="paragraph" w:customStyle="1" w:styleId="centeringpage">
    <w:name w:val="centering page"/>
    <w:pPr>
      <w:keepLines/>
      <w:jc w:val="center"/>
    </w:pPr>
    <w:rPr>
      <w:rFonts w:ascii="Times" w:hAnsi="Times"/>
      <w:b/>
    </w:rPr>
  </w:style>
  <w:style w:type="paragraph" w:customStyle="1" w:styleId="linebeforequestion">
    <w:name w:val="line before question"/>
    <w:pPr>
      <w:tabs>
        <w:tab w:val="left" w:pos="720"/>
        <w:tab w:val="left" w:pos="1296"/>
      </w:tabs>
      <w:spacing w:line="240" w:lineRule="exact"/>
      <w:ind w:left="1296" w:hanging="1296"/>
      <w:jc w:val="both"/>
    </w:pPr>
    <w:rPr>
      <w:rFonts w:ascii="Times" w:hAnsi="Times"/>
    </w:rPr>
  </w:style>
  <w:style w:type="paragraph" w:customStyle="1" w:styleId="tfanswers">
    <w:name w:val="t/f answers"/>
    <w:pPr>
      <w:tabs>
        <w:tab w:val="left" w:pos="1152"/>
      </w:tabs>
      <w:spacing w:line="240" w:lineRule="exact"/>
      <w:ind w:left="1152" w:hanging="1152"/>
    </w:pPr>
    <w:rPr>
      <w:rFonts w:ascii="Times" w:hAnsi="Times"/>
    </w:rPr>
  </w:style>
  <w:style w:type="paragraph" w:customStyle="1" w:styleId="subanswersspecial">
    <w:name w:val="sub answers special"/>
    <w:pPr>
      <w:tabs>
        <w:tab w:val="left" w:pos="432"/>
        <w:tab w:val="left" w:pos="1584"/>
      </w:tabs>
      <w:spacing w:line="240" w:lineRule="exact"/>
      <w:ind w:left="1584" w:hanging="432"/>
    </w:pPr>
    <w:rPr>
      <w:rFonts w:ascii="Times" w:hAnsi="Times"/>
    </w:rPr>
  </w:style>
  <w:style w:type="paragraph" w:customStyle="1" w:styleId="subanswerblockpara">
    <w:name w:val="sub answer block para."/>
    <w:pPr>
      <w:tabs>
        <w:tab w:val="left" w:pos="1296"/>
      </w:tabs>
      <w:spacing w:line="240" w:lineRule="exact"/>
      <w:ind w:left="1296"/>
      <w:jc w:val="both"/>
    </w:pPr>
    <w:rPr>
      <w:rFonts w:ascii="Times" w:hAnsi="Times"/>
    </w:rPr>
  </w:style>
  <w:style w:type="paragraph" w:customStyle="1" w:styleId="answerblockparaessay">
    <w:name w:val="answer block para essay"/>
    <w:pPr>
      <w:tabs>
        <w:tab w:val="left" w:pos="720"/>
      </w:tabs>
      <w:spacing w:line="240" w:lineRule="exact"/>
      <w:ind w:left="720"/>
      <w:jc w:val="both"/>
    </w:pPr>
    <w:rPr>
      <w:rFonts w:ascii="Times" w:hAnsi="Times"/>
    </w:rPr>
  </w:style>
  <w:style w:type="paragraph" w:customStyle="1" w:styleId="sub-subanswer">
    <w:name w:val="sub-sub answer"/>
    <w:pPr>
      <w:tabs>
        <w:tab w:val="left" w:pos="720"/>
        <w:tab w:val="left" w:pos="2016"/>
      </w:tabs>
      <w:spacing w:line="240" w:lineRule="exact"/>
      <w:ind w:left="2016" w:hanging="720"/>
    </w:pPr>
    <w:rPr>
      <w:rFonts w:ascii="Times" w:hAnsi="Times"/>
    </w:rPr>
  </w:style>
  <w:style w:type="paragraph" w:customStyle="1" w:styleId="sub-sub-subanswer">
    <w:name w:val="sub-sub-sub answer"/>
    <w:pPr>
      <w:tabs>
        <w:tab w:val="left" w:pos="2736"/>
      </w:tabs>
      <w:spacing w:line="240" w:lineRule="exact"/>
      <w:ind w:left="2736" w:hanging="720"/>
    </w:pPr>
    <w:rPr>
      <w:rFonts w:ascii="Times" w:hAnsi="Times"/>
    </w:rPr>
  </w:style>
  <w:style w:type="paragraph" w:customStyle="1" w:styleId="MultiCh">
    <w:name w:val="Multi Ch"/>
    <w:aliases w:val="I - III"/>
    <w:pPr>
      <w:tabs>
        <w:tab w:val="left" w:pos="1584"/>
      </w:tabs>
      <w:spacing w:line="240" w:lineRule="exact"/>
      <w:ind w:left="1584" w:hanging="1440"/>
    </w:pPr>
    <w:rPr>
      <w:rFonts w:ascii="Times" w:hAnsi="Times"/>
    </w:rPr>
  </w:style>
  <w:style w:type="paragraph" w:customStyle="1" w:styleId="rightjustified">
    <w:name w:val="right justified"/>
    <w:pPr>
      <w:jc w:val="right"/>
    </w:pPr>
    <w:rPr>
      <w:rFonts w:ascii="Times" w:hAnsi="Times"/>
    </w:rPr>
  </w:style>
  <w:style w:type="paragraph" w:customStyle="1" w:styleId="BP">
    <w:name w:val="BP"/>
    <w:pPr>
      <w:tabs>
        <w:tab w:val="left" w:pos="1440"/>
      </w:tabs>
      <w:spacing w:line="240" w:lineRule="exact"/>
      <w:ind w:left="1440"/>
    </w:pPr>
    <w:rPr>
      <w:rFonts w:ascii="Times" w:hAnsi="Times"/>
    </w:rPr>
  </w:style>
  <w:style w:type="paragraph" w:customStyle="1" w:styleId="dashdashansmc">
    <w:name w:val="dash dash ans. m.c."/>
    <w:pPr>
      <w:tabs>
        <w:tab w:val="left" w:pos="432"/>
        <w:tab w:val="left" w:pos="1728"/>
      </w:tabs>
      <w:spacing w:line="240" w:lineRule="exact"/>
      <w:ind w:left="1728" w:hanging="432"/>
    </w:pPr>
    <w:rPr>
      <w:rFonts w:ascii="Times" w:hAnsi="Times"/>
    </w:rPr>
  </w:style>
  <w:style w:type="paragraph" w:customStyle="1" w:styleId="flushleftpara-noindents">
    <w:name w:val="flush left para-no indents"/>
    <w:rPr>
      <w:rFonts w:ascii="Times" w:hAnsi="Times"/>
    </w:rPr>
  </w:style>
  <w:style w:type="paragraph" w:customStyle="1" w:styleId="Subpartsanswer">
    <w:name w:val="Sub parts answer"/>
    <w:pPr>
      <w:tabs>
        <w:tab w:val="left" w:pos="576"/>
        <w:tab w:val="left" w:pos="1296"/>
      </w:tabs>
      <w:spacing w:line="240" w:lineRule="exact"/>
      <w:ind w:left="1296" w:hanging="576"/>
      <w:jc w:val="both"/>
    </w:pPr>
    <w:rPr>
      <w:rFonts w:ascii="Times" w:hAnsi="Times"/>
    </w:rPr>
  </w:style>
  <w:style w:type="paragraph" w:customStyle="1" w:styleId="b1answer">
    <w:name w:val="(b) (1) answer"/>
    <w:pPr>
      <w:tabs>
        <w:tab w:val="left" w:pos="1296"/>
        <w:tab w:val="left" w:pos="2016"/>
      </w:tabs>
      <w:spacing w:line="240" w:lineRule="exact"/>
      <w:ind w:left="2016" w:hanging="1296"/>
    </w:pPr>
    <w:rPr>
      <w:rFonts w:ascii="Times" w:hAnsi="Times"/>
    </w:rPr>
  </w:style>
  <w:style w:type="paragraph" w:customStyle="1" w:styleId="subdash">
    <w:name w:val="sub dash"/>
    <w:pPr>
      <w:tabs>
        <w:tab w:val="left" w:pos="432"/>
        <w:tab w:val="left" w:pos="1152"/>
      </w:tabs>
      <w:spacing w:line="240" w:lineRule="exact"/>
      <w:ind w:left="1152" w:hanging="432"/>
    </w:pPr>
    <w:rPr>
      <w:rFonts w:ascii="Times" w:hAnsi="Times"/>
    </w:rPr>
  </w:style>
  <w:style w:type="paragraph" w:customStyle="1" w:styleId="tableparagraph">
    <w:name w:val="table paragraph"/>
    <w:pPr>
      <w:tabs>
        <w:tab w:val="left" w:pos="1152"/>
      </w:tabs>
      <w:spacing w:line="240" w:lineRule="exact"/>
      <w:ind w:left="1152"/>
    </w:pPr>
    <w:rPr>
      <w:rFonts w:ascii="Times" w:hAnsi="Times"/>
    </w:rPr>
  </w:style>
  <w:style w:type="paragraph" w:customStyle="1" w:styleId="multiplechoiceanswer">
    <w:name w:val="multiple choice answer"/>
    <w:pPr>
      <w:tabs>
        <w:tab w:val="left" w:pos="1440"/>
      </w:tabs>
      <w:spacing w:line="240" w:lineRule="exact"/>
      <w:ind w:left="1440" w:hanging="1440"/>
    </w:pPr>
    <w:rPr>
      <w:rFonts w:ascii="Times" w:hAnsi="Times"/>
    </w:rPr>
  </w:style>
  <w:style w:type="paragraph" w:customStyle="1" w:styleId="submultiplechoiceanswer">
    <w:name w:val="sub multiple choice answer"/>
    <w:pPr>
      <w:tabs>
        <w:tab w:val="left" w:pos="1440"/>
      </w:tabs>
      <w:spacing w:line="240" w:lineRule="exact"/>
      <w:ind w:left="1440" w:hanging="720"/>
    </w:pPr>
    <w:rPr>
      <w:rFonts w:ascii="Times" w:hAnsi="Times"/>
    </w:rPr>
  </w:style>
  <w:style w:type="paragraph" w:customStyle="1" w:styleId="dashparagraph">
    <w:name w:val="dash paragraph"/>
    <w:pPr>
      <w:tabs>
        <w:tab w:val="left" w:pos="1440"/>
      </w:tabs>
      <w:spacing w:line="240" w:lineRule="exact"/>
      <w:ind w:left="1008" w:hanging="245"/>
      <w:jc w:val="both"/>
    </w:pPr>
    <w:rPr>
      <w:rFonts w:ascii="Times" w:hAnsi="Times"/>
    </w:rPr>
  </w:style>
  <w:style w:type="paragraph" w:customStyle="1" w:styleId="SD">
    <w:name w:val="SD"/>
    <w:pPr>
      <w:tabs>
        <w:tab w:val="left" w:pos="1440"/>
      </w:tabs>
      <w:ind w:left="1512" w:hanging="216"/>
      <w:jc w:val="both"/>
    </w:pPr>
    <w:rPr>
      <w:rFonts w:ascii="Times" w:hAnsi="Times"/>
    </w:rPr>
  </w:style>
  <w:style w:type="paragraph" w:customStyle="1" w:styleId="singlebullet">
    <w:name w:val="single bullet"/>
    <w:pPr>
      <w:tabs>
        <w:tab w:val="left" w:pos="720"/>
      </w:tabs>
      <w:spacing w:line="240" w:lineRule="exact"/>
      <w:ind w:left="720" w:hanging="720"/>
      <w:jc w:val="both"/>
    </w:pPr>
    <w:rPr>
      <w:rFonts w:ascii="Times" w:hAnsi="Times"/>
    </w:rPr>
  </w:style>
  <w:style w:type="paragraph" w:customStyle="1" w:styleId="indentedbullet">
    <w:name w:val="indented bullet"/>
    <w:pPr>
      <w:tabs>
        <w:tab w:val="left" w:pos="576"/>
        <w:tab w:val="left" w:pos="1296"/>
      </w:tabs>
      <w:spacing w:line="240" w:lineRule="exact"/>
      <w:ind w:left="1296" w:hanging="576"/>
      <w:jc w:val="both"/>
    </w:pPr>
    <w:rPr>
      <w:rFonts w:ascii="Times" w:hAnsi="Times"/>
    </w:rPr>
  </w:style>
  <w:style w:type="paragraph" w:customStyle="1" w:styleId="3dlevelbullet2dindent">
    <w:name w:val="3d level bullet (2d indent)"/>
    <w:pPr>
      <w:tabs>
        <w:tab w:val="left" w:pos="1872"/>
      </w:tabs>
      <w:spacing w:line="240" w:lineRule="exact"/>
      <w:ind w:left="1872" w:hanging="576"/>
      <w:jc w:val="both"/>
    </w:pPr>
    <w:rPr>
      <w:rFonts w:ascii="Times" w:hAnsi="Times"/>
    </w:rPr>
  </w:style>
  <w:style w:type="paragraph" w:customStyle="1" w:styleId="outline4thlevel">
    <w:name w:val="outline/4th level"/>
    <w:pPr>
      <w:tabs>
        <w:tab w:val="left" w:pos="3456"/>
      </w:tabs>
      <w:spacing w:line="240" w:lineRule="exact"/>
      <w:ind w:left="3456" w:hanging="720"/>
      <w:jc w:val="both"/>
    </w:pPr>
    <w:rPr>
      <w:rFonts w:ascii="Times" w:hAnsi="Times"/>
    </w:rPr>
  </w:style>
  <w:style w:type="paragraph" w:customStyle="1" w:styleId="outline3dlevel">
    <w:name w:val="outline/3d level"/>
    <w:pPr>
      <w:tabs>
        <w:tab w:val="left" w:pos="2736"/>
      </w:tabs>
      <w:spacing w:line="240" w:lineRule="exact"/>
      <w:ind w:left="2736" w:hanging="720"/>
      <w:jc w:val="both"/>
    </w:pPr>
    <w:rPr>
      <w:rFonts w:ascii="Times" w:hAnsi="Times"/>
    </w:rPr>
  </w:style>
  <w:style w:type="paragraph" w:styleId="Footer">
    <w:name w:val="footer"/>
    <w:basedOn w:val="Normal"/>
    <w:link w:val="FooterChar"/>
    <w:pPr>
      <w:tabs>
        <w:tab w:val="center" w:pos="4320"/>
        <w:tab w:val="right" w:pos="8640"/>
      </w:tabs>
    </w:pPr>
  </w:style>
  <w:style w:type="paragraph" w:styleId="Header">
    <w:name w:val="header"/>
    <w:basedOn w:val="Normal"/>
    <w:link w:val="HeaderChar"/>
    <w:pPr>
      <w:tabs>
        <w:tab w:val="center" w:pos="4320"/>
        <w:tab w:val="right" w:pos="8640"/>
      </w:tabs>
    </w:pPr>
  </w:style>
  <w:style w:type="character" w:styleId="PageNumber">
    <w:name w:val="page number"/>
    <w:basedOn w:val="DefaultParagraphFont"/>
  </w:style>
  <w:style w:type="paragraph" w:styleId="BodyText">
    <w:name w:val="Body Text"/>
    <w:basedOn w:val="Normal"/>
    <w:pPr>
      <w:spacing w:line="240" w:lineRule="exact"/>
      <w:jc w:val="both"/>
    </w:pPr>
  </w:style>
  <w:style w:type="character" w:styleId="Hyperlink">
    <w:name w:val="Hyperlink"/>
    <w:rPr>
      <w:color w:val="800000"/>
      <w:u w:val="single"/>
    </w:rPr>
  </w:style>
  <w:style w:type="paragraph" w:styleId="BodyTextIndent">
    <w:name w:val="Body Text Indent"/>
    <w:basedOn w:val="Normal"/>
    <w:pPr>
      <w:ind w:left="1440" w:hanging="1440"/>
      <w:jc w:val="both"/>
    </w:pPr>
  </w:style>
  <w:style w:type="paragraph" w:styleId="BodyText2">
    <w:name w:val="Body Text 2"/>
    <w:basedOn w:val="Normal"/>
    <w:pPr>
      <w:pBdr>
        <w:bottom w:val="double" w:sz="6" w:space="0" w:color="000000"/>
      </w:pBdr>
      <w:spacing w:line="240" w:lineRule="exact"/>
      <w:jc w:val="both"/>
    </w:pPr>
  </w:style>
  <w:style w:type="paragraph" w:styleId="BodyTextIndent2">
    <w:name w:val="Body Text Indent 2"/>
    <w:basedOn w:val="Normal"/>
    <w:pPr>
      <w:ind w:left="720"/>
    </w:pPr>
  </w:style>
  <w:style w:type="paragraph" w:styleId="BalloonText">
    <w:name w:val="Balloon Text"/>
    <w:basedOn w:val="Normal"/>
    <w:semiHidden/>
    <w:rPr>
      <w:rFonts w:ascii="Tahoma" w:hAnsi="Tahoma" w:cs="Tahoma"/>
      <w:sz w:val="16"/>
      <w:szCs w:val="16"/>
    </w:rPr>
  </w:style>
  <w:style w:type="character" w:styleId="FollowedHyperlink">
    <w:name w:val="FollowedHyperlink"/>
    <w:rsid w:val="003B30F2"/>
    <w:rPr>
      <w:color w:val="800080"/>
      <w:u w:val="single"/>
    </w:rPr>
  </w:style>
  <w:style w:type="character" w:customStyle="1" w:styleId="FooterChar">
    <w:name w:val="Footer Char"/>
    <w:link w:val="Footer"/>
    <w:semiHidden/>
    <w:locked/>
    <w:rsid w:val="00684849"/>
    <w:rPr>
      <w:sz w:val="24"/>
      <w:szCs w:val="24"/>
      <w:lang w:val="en-US" w:eastAsia="en-US" w:bidi="ar-SA"/>
    </w:rPr>
  </w:style>
  <w:style w:type="paragraph" w:styleId="ListParagraph">
    <w:name w:val="List Paragraph"/>
    <w:basedOn w:val="Normal"/>
    <w:uiPriority w:val="34"/>
    <w:qFormat/>
    <w:rsid w:val="00225EA5"/>
    <w:pPr>
      <w:ind w:left="720"/>
    </w:pPr>
  </w:style>
  <w:style w:type="table" w:styleId="TableGrid">
    <w:name w:val="Table Grid"/>
    <w:basedOn w:val="TableNormal"/>
    <w:rsid w:val="007C306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rsid w:val="007A6FB5"/>
    <w:rPr>
      <w:sz w:val="16"/>
      <w:szCs w:val="16"/>
    </w:rPr>
  </w:style>
  <w:style w:type="paragraph" w:styleId="CommentText">
    <w:name w:val="annotation text"/>
    <w:basedOn w:val="Normal"/>
    <w:link w:val="CommentTextChar"/>
    <w:rsid w:val="007A6FB5"/>
    <w:rPr>
      <w:sz w:val="20"/>
      <w:szCs w:val="20"/>
    </w:rPr>
  </w:style>
  <w:style w:type="character" w:customStyle="1" w:styleId="CommentTextChar">
    <w:name w:val="Comment Text Char"/>
    <w:basedOn w:val="DefaultParagraphFont"/>
    <w:link w:val="CommentText"/>
    <w:rsid w:val="007A6FB5"/>
  </w:style>
  <w:style w:type="paragraph" w:styleId="CommentSubject">
    <w:name w:val="annotation subject"/>
    <w:basedOn w:val="CommentText"/>
    <w:next w:val="CommentText"/>
    <w:link w:val="CommentSubjectChar"/>
    <w:rsid w:val="007A6FB5"/>
    <w:rPr>
      <w:b/>
      <w:bCs/>
      <w:lang w:val="x-none" w:eastAsia="x-none"/>
    </w:rPr>
  </w:style>
  <w:style w:type="character" w:customStyle="1" w:styleId="CommentSubjectChar">
    <w:name w:val="Comment Subject Char"/>
    <w:link w:val="CommentSubject"/>
    <w:rsid w:val="007A6FB5"/>
    <w:rPr>
      <w:b/>
      <w:bCs/>
    </w:rPr>
  </w:style>
  <w:style w:type="character" w:customStyle="1" w:styleId="HeaderChar">
    <w:name w:val="Header Char"/>
    <w:basedOn w:val="DefaultParagraphFont"/>
    <w:link w:val="Header"/>
    <w:rsid w:val="00E05DC9"/>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pPr>
      <w:keepNext/>
      <w:spacing w:line="240" w:lineRule="exact"/>
      <w:outlineLvl w:val="0"/>
    </w:pPr>
    <w:rPr>
      <w:b/>
    </w:rPr>
  </w:style>
  <w:style w:type="paragraph" w:styleId="Heading2">
    <w:name w:val="heading 2"/>
    <w:basedOn w:val="Normal"/>
    <w:next w:val="Normal"/>
    <w:qFormat/>
    <w:pPr>
      <w:keepNext/>
      <w:tabs>
        <w:tab w:val="left" w:pos="720"/>
        <w:tab w:val="left" w:pos="1440"/>
        <w:tab w:val="right" w:pos="8640"/>
      </w:tabs>
      <w:spacing w:line="240" w:lineRule="exact"/>
      <w:ind w:left="1440" w:hanging="720"/>
      <w:outlineLvl w:val="1"/>
    </w:pPr>
  </w:style>
  <w:style w:type="paragraph" w:styleId="Heading3">
    <w:name w:val="heading 3"/>
    <w:basedOn w:val="Normal"/>
    <w:next w:val="Normal"/>
    <w:qFormat/>
    <w:pPr>
      <w:keepNext/>
      <w:spacing w:line="240" w:lineRule="exact"/>
      <w:ind w:left="720"/>
      <w:jc w:val="center"/>
      <w:outlineLvl w:val="2"/>
    </w:pPr>
    <w:rPr>
      <w:b/>
    </w:rPr>
  </w:style>
  <w:style w:type="paragraph" w:styleId="Heading4">
    <w:name w:val="heading 4"/>
    <w:basedOn w:val="Normal"/>
    <w:next w:val="Normal"/>
    <w:qFormat/>
    <w:pPr>
      <w:keepNext/>
      <w:pBdr>
        <w:bottom w:val="double" w:sz="6" w:space="0" w:color="000000"/>
      </w:pBdr>
      <w:spacing w:line="240" w:lineRule="exact"/>
      <w:jc w:val="both"/>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ainanswerparagraph">
    <w:name w:val="main answer paragraph"/>
    <w:pPr>
      <w:tabs>
        <w:tab w:val="left" w:pos="720"/>
      </w:tabs>
      <w:spacing w:line="240" w:lineRule="exact"/>
      <w:ind w:left="720" w:hanging="720"/>
      <w:jc w:val="both"/>
    </w:pPr>
    <w:rPr>
      <w:rFonts w:ascii="Times" w:hAnsi="Times"/>
    </w:rPr>
  </w:style>
  <w:style w:type="paragraph" w:customStyle="1" w:styleId="subquestionpara">
    <w:name w:val="sub question para."/>
    <w:pPr>
      <w:tabs>
        <w:tab w:val="left" w:pos="1152"/>
      </w:tabs>
      <w:spacing w:line="240" w:lineRule="exact"/>
      <w:ind w:left="1152" w:hanging="432"/>
    </w:pPr>
    <w:rPr>
      <w:rFonts w:ascii="Times" w:hAnsi="Times"/>
    </w:rPr>
  </w:style>
  <w:style w:type="paragraph" w:customStyle="1" w:styleId="centeringpage">
    <w:name w:val="centering page"/>
    <w:pPr>
      <w:keepLines/>
      <w:jc w:val="center"/>
    </w:pPr>
    <w:rPr>
      <w:rFonts w:ascii="Times" w:hAnsi="Times"/>
      <w:b/>
    </w:rPr>
  </w:style>
  <w:style w:type="paragraph" w:customStyle="1" w:styleId="linebeforequestion">
    <w:name w:val="line before question"/>
    <w:pPr>
      <w:tabs>
        <w:tab w:val="left" w:pos="720"/>
        <w:tab w:val="left" w:pos="1296"/>
      </w:tabs>
      <w:spacing w:line="240" w:lineRule="exact"/>
      <w:ind w:left="1296" w:hanging="1296"/>
      <w:jc w:val="both"/>
    </w:pPr>
    <w:rPr>
      <w:rFonts w:ascii="Times" w:hAnsi="Times"/>
    </w:rPr>
  </w:style>
  <w:style w:type="paragraph" w:customStyle="1" w:styleId="tfanswers">
    <w:name w:val="t/f answers"/>
    <w:pPr>
      <w:tabs>
        <w:tab w:val="left" w:pos="1152"/>
      </w:tabs>
      <w:spacing w:line="240" w:lineRule="exact"/>
      <w:ind w:left="1152" w:hanging="1152"/>
    </w:pPr>
    <w:rPr>
      <w:rFonts w:ascii="Times" w:hAnsi="Times"/>
    </w:rPr>
  </w:style>
  <w:style w:type="paragraph" w:customStyle="1" w:styleId="subanswersspecial">
    <w:name w:val="sub answers special"/>
    <w:pPr>
      <w:tabs>
        <w:tab w:val="left" w:pos="432"/>
        <w:tab w:val="left" w:pos="1584"/>
      </w:tabs>
      <w:spacing w:line="240" w:lineRule="exact"/>
      <w:ind w:left="1584" w:hanging="432"/>
    </w:pPr>
    <w:rPr>
      <w:rFonts w:ascii="Times" w:hAnsi="Times"/>
    </w:rPr>
  </w:style>
  <w:style w:type="paragraph" w:customStyle="1" w:styleId="subanswerblockpara">
    <w:name w:val="sub answer block para."/>
    <w:pPr>
      <w:tabs>
        <w:tab w:val="left" w:pos="1296"/>
      </w:tabs>
      <w:spacing w:line="240" w:lineRule="exact"/>
      <w:ind w:left="1296"/>
      <w:jc w:val="both"/>
    </w:pPr>
    <w:rPr>
      <w:rFonts w:ascii="Times" w:hAnsi="Times"/>
    </w:rPr>
  </w:style>
  <w:style w:type="paragraph" w:customStyle="1" w:styleId="answerblockparaessay">
    <w:name w:val="answer block para essay"/>
    <w:pPr>
      <w:tabs>
        <w:tab w:val="left" w:pos="720"/>
      </w:tabs>
      <w:spacing w:line="240" w:lineRule="exact"/>
      <w:ind w:left="720"/>
      <w:jc w:val="both"/>
    </w:pPr>
    <w:rPr>
      <w:rFonts w:ascii="Times" w:hAnsi="Times"/>
    </w:rPr>
  </w:style>
  <w:style w:type="paragraph" w:customStyle="1" w:styleId="sub-subanswer">
    <w:name w:val="sub-sub answer"/>
    <w:pPr>
      <w:tabs>
        <w:tab w:val="left" w:pos="720"/>
        <w:tab w:val="left" w:pos="2016"/>
      </w:tabs>
      <w:spacing w:line="240" w:lineRule="exact"/>
      <w:ind w:left="2016" w:hanging="720"/>
    </w:pPr>
    <w:rPr>
      <w:rFonts w:ascii="Times" w:hAnsi="Times"/>
    </w:rPr>
  </w:style>
  <w:style w:type="paragraph" w:customStyle="1" w:styleId="sub-sub-subanswer">
    <w:name w:val="sub-sub-sub answer"/>
    <w:pPr>
      <w:tabs>
        <w:tab w:val="left" w:pos="2736"/>
      </w:tabs>
      <w:spacing w:line="240" w:lineRule="exact"/>
      <w:ind w:left="2736" w:hanging="720"/>
    </w:pPr>
    <w:rPr>
      <w:rFonts w:ascii="Times" w:hAnsi="Times"/>
    </w:rPr>
  </w:style>
  <w:style w:type="paragraph" w:customStyle="1" w:styleId="MultiCh">
    <w:name w:val="Multi Ch"/>
    <w:aliases w:val="I - III"/>
    <w:pPr>
      <w:tabs>
        <w:tab w:val="left" w:pos="1584"/>
      </w:tabs>
      <w:spacing w:line="240" w:lineRule="exact"/>
      <w:ind w:left="1584" w:hanging="1440"/>
    </w:pPr>
    <w:rPr>
      <w:rFonts w:ascii="Times" w:hAnsi="Times"/>
    </w:rPr>
  </w:style>
  <w:style w:type="paragraph" w:customStyle="1" w:styleId="rightjustified">
    <w:name w:val="right justified"/>
    <w:pPr>
      <w:jc w:val="right"/>
    </w:pPr>
    <w:rPr>
      <w:rFonts w:ascii="Times" w:hAnsi="Times"/>
    </w:rPr>
  </w:style>
  <w:style w:type="paragraph" w:customStyle="1" w:styleId="BP">
    <w:name w:val="BP"/>
    <w:pPr>
      <w:tabs>
        <w:tab w:val="left" w:pos="1440"/>
      </w:tabs>
      <w:spacing w:line="240" w:lineRule="exact"/>
      <w:ind w:left="1440"/>
    </w:pPr>
    <w:rPr>
      <w:rFonts w:ascii="Times" w:hAnsi="Times"/>
    </w:rPr>
  </w:style>
  <w:style w:type="paragraph" w:customStyle="1" w:styleId="dashdashansmc">
    <w:name w:val="dash dash ans. m.c."/>
    <w:pPr>
      <w:tabs>
        <w:tab w:val="left" w:pos="432"/>
        <w:tab w:val="left" w:pos="1728"/>
      </w:tabs>
      <w:spacing w:line="240" w:lineRule="exact"/>
      <w:ind w:left="1728" w:hanging="432"/>
    </w:pPr>
    <w:rPr>
      <w:rFonts w:ascii="Times" w:hAnsi="Times"/>
    </w:rPr>
  </w:style>
  <w:style w:type="paragraph" w:customStyle="1" w:styleId="flushleftpara-noindents">
    <w:name w:val="flush left para-no indents"/>
    <w:rPr>
      <w:rFonts w:ascii="Times" w:hAnsi="Times"/>
    </w:rPr>
  </w:style>
  <w:style w:type="paragraph" w:customStyle="1" w:styleId="Subpartsanswer">
    <w:name w:val="Sub parts answer"/>
    <w:pPr>
      <w:tabs>
        <w:tab w:val="left" w:pos="576"/>
        <w:tab w:val="left" w:pos="1296"/>
      </w:tabs>
      <w:spacing w:line="240" w:lineRule="exact"/>
      <w:ind w:left="1296" w:hanging="576"/>
      <w:jc w:val="both"/>
    </w:pPr>
    <w:rPr>
      <w:rFonts w:ascii="Times" w:hAnsi="Times"/>
    </w:rPr>
  </w:style>
  <w:style w:type="paragraph" w:customStyle="1" w:styleId="b1answer">
    <w:name w:val="(b) (1) answer"/>
    <w:pPr>
      <w:tabs>
        <w:tab w:val="left" w:pos="1296"/>
        <w:tab w:val="left" w:pos="2016"/>
      </w:tabs>
      <w:spacing w:line="240" w:lineRule="exact"/>
      <w:ind w:left="2016" w:hanging="1296"/>
    </w:pPr>
    <w:rPr>
      <w:rFonts w:ascii="Times" w:hAnsi="Times"/>
    </w:rPr>
  </w:style>
  <w:style w:type="paragraph" w:customStyle="1" w:styleId="subdash">
    <w:name w:val="sub dash"/>
    <w:pPr>
      <w:tabs>
        <w:tab w:val="left" w:pos="432"/>
        <w:tab w:val="left" w:pos="1152"/>
      </w:tabs>
      <w:spacing w:line="240" w:lineRule="exact"/>
      <w:ind w:left="1152" w:hanging="432"/>
    </w:pPr>
    <w:rPr>
      <w:rFonts w:ascii="Times" w:hAnsi="Times"/>
    </w:rPr>
  </w:style>
  <w:style w:type="paragraph" w:customStyle="1" w:styleId="tableparagraph">
    <w:name w:val="table paragraph"/>
    <w:pPr>
      <w:tabs>
        <w:tab w:val="left" w:pos="1152"/>
      </w:tabs>
      <w:spacing w:line="240" w:lineRule="exact"/>
      <w:ind w:left="1152"/>
    </w:pPr>
    <w:rPr>
      <w:rFonts w:ascii="Times" w:hAnsi="Times"/>
    </w:rPr>
  </w:style>
  <w:style w:type="paragraph" w:customStyle="1" w:styleId="multiplechoiceanswer">
    <w:name w:val="multiple choice answer"/>
    <w:pPr>
      <w:tabs>
        <w:tab w:val="left" w:pos="1440"/>
      </w:tabs>
      <w:spacing w:line="240" w:lineRule="exact"/>
      <w:ind w:left="1440" w:hanging="1440"/>
    </w:pPr>
    <w:rPr>
      <w:rFonts w:ascii="Times" w:hAnsi="Times"/>
    </w:rPr>
  </w:style>
  <w:style w:type="paragraph" w:customStyle="1" w:styleId="submultiplechoiceanswer">
    <w:name w:val="sub multiple choice answer"/>
    <w:pPr>
      <w:tabs>
        <w:tab w:val="left" w:pos="1440"/>
      </w:tabs>
      <w:spacing w:line="240" w:lineRule="exact"/>
      <w:ind w:left="1440" w:hanging="720"/>
    </w:pPr>
    <w:rPr>
      <w:rFonts w:ascii="Times" w:hAnsi="Times"/>
    </w:rPr>
  </w:style>
  <w:style w:type="paragraph" w:customStyle="1" w:styleId="dashparagraph">
    <w:name w:val="dash paragraph"/>
    <w:pPr>
      <w:tabs>
        <w:tab w:val="left" w:pos="1440"/>
      </w:tabs>
      <w:spacing w:line="240" w:lineRule="exact"/>
      <w:ind w:left="1008" w:hanging="245"/>
      <w:jc w:val="both"/>
    </w:pPr>
    <w:rPr>
      <w:rFonts w:ascii="Times" w:hAnsi="Times"/>
    </w:rPr>
  </w:style>
  <w:style w:type="paragraph" w:customStyle="1" w:styleId="SD">
    <w:name w:val="SD"/>
    <w:pPr>
      <w:tabs>
        <w:tab w:val="left" w:pos="1440"/>
      </w:tabs>
      <w:ind w:left="1512" w:hanging="216"/>
      <w:jc w:val="both"/>
    </w:pPr>
    <w:rPr>
      <w:rFonts w:ascii="Times" w:hAnsi="Times"/>
    </w:rPr>
  </w:style>
  <w:style w:type="paragraph" w:customStyle="1" w:styleId="singlebullet">
    <w:name w:val="single bullet"/>
    <w:pPr>
      <w:tabs>
        <w:tab w:val="left" w:pos="720"/>
      </w:tabs>
      <w:spacing w:line="240" w:lineRule="exact"/>
      <w:ind w:left="720" w:hanging="720"/>
      <w:jc w:val="both"/>
    </w:pPr>
    <w:rPr>
      <w:rFonts w:ascii="Times" w:hAnsi="Times"/>
    </w:rPr>
  </w:style>
  <w:style w:type="paragraph" w:customStyle="1" w:styleId="indentedbullet">
    <w:name w:val="indented bullet"/>
    <w:pPr>
      <w:tabs>
        <w:tab w:val="left" w:pos="576"/>
        <w:tab w:val="left" w:pos="1296"/>
      </w:tabs>
      <w:spacing w:line="240" w:lineRule="exact"/>
      <w:ind w:left="1296" w:hanging="576"/>
      <w:jc w:val="both"/>
    </w:pPr>
    <w:rPr>
      <w:rFonts w:ascii="Times" w:hAnsi="Times"/>
    </w:rPr>
  </w:style>
  <w:style w:type="paragraph" w:customStyle="1" w:styleId="3dlevelbullet2dindent">
    <w:name w:val="3d level bullet (2d indent)"/>
    <w:pPr>
      <w:tabs>
        <w:tab w:val="left" w:pos="1872"/>
      </w:tabs>
      <w:spacing w:line="240" w:lineRule="exact"/>
      <w:ind w:left="1872" w:hanging="576"/>
      <w:jc w:val="both"/>
    </w:pPr>
    <w:rPr>
      <w:rFonts w:ascii="Times" w:hAnsi="Times"/>
    </w:rPr>
  </w:style>
  <w:style w:type="paragraph" w:customStyle="1" w:styleId="outline4thlevel">
    <w:name w:val="outline/4th level"/>
    <w:pPr>
      <w:tabs>
        <w:tab w:val="left" w:pos="3456"/>
      </w:tabs>
      <w:spacing w:line="240" w:lineRule="exact"/>
      <w:ind w:left="3456" w:hanging="720"/>
      <w:jc w:val="both"/>
    </w:pPr>
    <w:rPr>
      <w:rFonts w:ascii="Times" w:hAnsi="Times"/>
    </w:rPr>
  </w:style>
  <w:style w:type="paragraph" w:customStyle="1" w:styleId="outline3dlevel">
    <w:name w:val="outline/3d level"/>
    <w:pPr>
      <w:tabs>
        <w:tab w:val="left" w:pos="2736"/>
      </w:tabs>
      <w:spacing w:line="240" w:lineRule="exact"/>
      <w:ind w:left="2736" w:hanging="720"/>
      <w:jc w:val="both"/>
    </w:pPr>
    <w:rPr>
      <w:rFonts w:ascii="Times" w:hAnsi="Times"/>
    </w:rPr>
  </w:style>
  <w:style w:type="paragraph" w:styleId="Footer">
    <w:name w:val="footer"/>
    <w:basedOn w:val="Normal"/>
    <w:link w:val="FooterChar"/>
    <w:pPr>
      <w:tabs>
        <w:tab w:val="center" w:pos="4320"/>
        <w:tab w:val="right" w:pos="8640"/>
      </w:tabs>
    </w:pPr>
  </w:style>
  <w:style w:type="paragraph" w:styleId="Header">
    <w:name w:val="header"/>
    <w:basedOn w:val="Normal"/>
    <w:link w:val="HeaderChar"/>
    <w:pPr>
      <w:tabs>
        <w:tab w:val="center" w:pos="4320"/>
        <w:tab w:val="right" w:pos="8640"/>
      </w:tabs>
    </w:pPr>
  </w:style>
  <w:style w:type="character" w:styleId="PageNumber">
    <w:name w:val="page number"/>
    <w:basedOn w:val="DefaultParagraphFont"/>
  </w:style>
  <w:style w:type="paragraph" w:styleId="BodyText">
    <w:name w:val="Body Text"/>
    <w:basedOn w:val="Normal"/>
    <w:pPr>
      <w:spacing w:line="240" w:lineRule="exact"/>
      <w:jc w:val="both"/>
    </w:pPr>
  </w:style>
  <w:style w:type="character" w:styleId="Hyperlink">
    <w:name w:val="Hyperlink"/>
    <w:rPr>
      <w:color w:val="800000"/>
      <w:u w:val="single"/>
    </w:rPr>
  </w:style>
  <w:style w:type="paragraph" w:styleId="BodyTextIndent">
    <w:name w:val="Body Text Indent"/>
    <w:basedOn w:val="Normal"/>
    <w:pPr>
      <w:ind w:left="1440" w:hanging="1440"/>
      <w:jc w:val="both"/>
    </w:pPr>
  </w:style>
  <w:style w:type="paragraph" w:styleId="BodyText2">
    <w:name w:val="Body Text 2"/>
    <w:basedOn w:val="Normal"/>
    <w:pPr>
      <w:pBdr>
        <w:bottom w:val="double" w:sz="6" w:space="0" w:color="000000"/>
      </w:pBdr>
      <w:spacing w:line="240" w:lineRule="exact"/>
      <w:jc w:val="both"/>
    </w:pPr>
  </w:style>
  <w:style w:type="paragraph" w:styleId="BodyTextIndent2">
    <w:name w:val="Body Text Indent 2"/>
    <w:basedOn w:val="Normal"/>
    <w:pPr>
      <w:ind w:left="720"/>
    </w:pPr>
  </w:style>
  <w:style w:type="paragraph" w:styleId="BalloonText">
    <w:name w:val="Balloon Text"/>
    <w:basedOn w:val="Normal"/>
    <w:semiHidden/>
    <w:rPr>
      <w:rFonts w:ascii="Tahoma" w:hAnsi="Tahoma" w:cs="Tahoma"/>
      <w:sz w:val="16"/>
      <w:szCs w:val="16"/>
    </w:rPr>
  </w:style>
  <w:style w:type="character" w:styleId="FollowedHyperlink">
    <w:name w:val="FollowedHyperlink"/>
    <w:rsid w:val="003B30F2"/>
    <w:rPr>
      <w:color w:val="800080"/>
      <w:u w:val="single"/>
    </w:rPr>
  </w:style>
  <w:style w:type="character" w:customStyle="1" w:styleId="FooterChar">
    <w:name w:val="Footer Char"/>
    <w:link w:val="Footer"/>
    <w:semiHidden/>
    <w:locked/>
    <w:rsid w:val="00684849"/>
    <w:rPr>
      <w:sz w:val="24"/>
      <w:szCs w:val="24"/>
      <w:lang w:val="en-US" w:eastAsia="en-US" w:bidi="ar-SA"/>
    </w:rPr>
  </w:style>
  <w:style w:type="paragraph" w:styleId="ListParagraph">
    <w:name w:val="List Paragraph"/>
    <w:basedOn w:val="Normal"/>
    <w:uiPriority w:val="34"/>
    <w:qFormat/>
    <w:rsid w:val="00225EA5"/>
    <w:pPr>
      <w:ind w:left="720"/>
    </w:pPr>
  </w:style>
  <w:style w:type="table" w:styleId="TableGrid">
    <w:name w:val="Table Grid"/>
    <w:basedOn w:val="TableNormal"/>
    <w:rsid w:val="007C306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rsid w:val="007A6FB5"/>
    <w:rPr>
      <w:sz w:val="16"/>
      <w:szCs w:val="16"/>
    </w:rPr>
  </w:style>
  <w:style w:type="paragraph" w:styleId="CommentText">
    <w:name w:val="annotation text"/>
    <w:basedOn w:val="Normal"/>
    <w:link w:val="CommentTextChar"/>
    <w:rsid w:val="007A6FB5"/>
    <w:rPr>
      <w:sz w:val="20"/>
      <w:szCs w:val="20"/>
    </w:rPr>
  </w:style>
  <w:style w:type="character" w:customStyle="1" w:styleId="CommentTextChar">
    <w:name w:val="Comment Text Char"/>
    <w:basedOn w:val="DefaultParagraphFont"/>
    <w:link w:val="CommentText"/>
    <w:rsid w:val="007A6FB5"/>
  </w:style>
  <w:style w:type="paragraph" w:styleId="CommentSubject">
    <w:name w:val="annotation subject"/>
    <w:basedOn w:val="CommentText"/>
    <w:next w:val="CommentText"/>
    <w:link w:val="CommentSubjectChar"/>
    <w:rsid w:val="007A6FB5"/>
    <w:rPr>
      <w:b/>
      <w:bCs/>
      <w:lang w:val="x-none" w:eastAsia="x-none"/>
    </w:rPr>
  </w:style>
  <w:style w:type="character" w:customStyle="1" w:styleId="CommentSubjectChar">
    <w:name w:val="Comment Subject Char"/>
    <w:link w:val="CommentSubject"/>
    <w:rsid w:val="007A6FB5"/>
    <w:rPr>
      <w:b/>
      <w:bCs/>
    </w:rPr>
  </w:style>
  <w:style w:type="character" w:customStyle="1" w:styleId="HeaderChar">
    <w:name w:val="Header Char"/>
    <w:basedOn w:val="DefaultParagraphFont"/>
    <w:link w:val="Header"/>
    <w:rsid w:val="00E05DC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5C7E90-9B0F-4FE1-A8BB-DAA9DEF2F6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18</Pages>
  <Words>6174</Words>
  <Characters>35194</Characters>
  <Application>Microsoft Office Word</Application>
  <DocSecurity>0</DocSecurity>
  <Lines>293</Lines>
  <Paragraphs>82</Paragraphs>
  <ScaleCrop>false</ScaleCrop>
  <HeadingPairs>
    <vt:vector size="2" baseType="variant">
      <vt:variant>
        <vt:lpstr>Title</vt:lpstr>
      </vt:variant>
      <vt:variant>
        <vt:i4>1</vt:i4>
      </vt:variant>
    </vt:vector>
  </HeadingPairs>
  <TitlesOfParts>
    <vt:vector size="1" baseType="lpstr">
      <vt:lpstr>CHAPTER 2</vt:lpstr>
    </vt:vector>
  </TitlesOfParts>
  <Company>Hewlett-Packard</Company>
  <LinksUpToDate>false</LinksUpToDate>
  <CharactersWithSpaces>41286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dc:title>
  <dc:subject>Instructor's Guide</dc:subject>
  <dc:creator>Dody Aldrin</dc:creator>
  <cp:lastModifiedBy>Owner</cp:lastModifiedBy>
  <cp:revision>12</cp:revision>
  <cp:lastPrinted>2005-04-22T14:58:00Z</cp:lastPrinted>
  <dcterms:created xsi:type="dcterms:W3CDTF">2013-02-27T21:17:00Z</dcterms:created>
  <dcterms:modified xsi:type="dcterms:W3CDTF">2013-03-26T18:42:00Z</dcterms:modified>
</cp:coreProperties>
</file>